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61972" w14:textId="77777777" w:rsidR="00767B70" w:rsidRPr="00767B70" w:rsidRDefault="00767B70" w:rsidP="00767B70">
      <w:pPr>
        <w:spacing w:after="60"/>
        <w:rPr>
          <w:rFonts w:ascii="Times New Roman" w:hAnsi="Times New Roman"/>
          <w:b/>
          <w:bCs/>
          <w:i/>
          <w:sz w:val="28"/>
          <w:szCs w:val="28"/>
        </w:rPr>
      </w:pPr>
    </w:p>
    <w:p w14:paraId="27BAEA7B" w14:textId="77777777" w:rsidR="00767B70" w:rsidRPr="00C81FE9" w:rsidRDefault="00767B70" w:rsidP="00767B70">
      <w:pPr>
        <w:spacing w:after="60"/>
        <w:jc w:val="right"/>
        <w:rPr>
          <w:rFonts w:ascii="Times New Roman" w:hAnsi="Times New Roman"/>
          <w:i/>
          <w:sz w:val="28"/>
          <w:szCs w:val="28"/>
        </w:rPr>
      </w:pPr>
      <w:r w:rsidRPr="00C81FE9">
        <w:rPr>
          <w:rFonts w:ascii="Times New Roman" w:hAnsi="Times New Roman"/>
          <w:i/>
          <w:sz w:val="28"/>
          <w:szCs w:val="28"/>
        </w:rPr>
        <w:t>Modulo richiesta borsa di studio per attività di ricerca post-laurea</w:t>
      </w:r>
    </w:p>
    <w:p w14:paraId="48C22FC6" w14:textId="77777777" w:rsidR="00767B70" w:rsidRPr="00767B70" w:rsidRDefault="00767B70" w:rsidP="00767B70">
      <w:pPr>
        <w:rPr>
          <w:rFonts w:ascii="Times New Roman" w:hAnsi="Times New Roman"/>
          <w:b/>
          <w:sz w:val="16"/>
          <w:szCs w:val="16"/>
        </w:rPr>
      </w:pPr>
    </w:p>
    <w:p w14:paraId="5697BB35" w14:textId="77777777" w:rsidR="00767B70" w:rsidRDefault="00767B70" w:rsidP="00767B70">
      <w:pPr>
        <w:rPr>
          <w:rFonts w:ascii="Times New Roman" w:hAnsi="Times New Roman"/>
          <w:b/>
          <w:sz w:val="28"/>
          <w:szCs w:val="28"/>
        </w:rPr>
      </w:pPr>
    </w:p>
    <w:p w14:paraId="273787D5" w14:textId="77777777" w:rsidR="00767B70" w:rsidRPr="00767B70" w:rsidRDefault="00767B70" w:rsidP="00767B70">
      <w:pP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C09C7" w:rsidRPr="00767B70" w14:paraId="48263CF3" w14:textId="77777777" w:rsidTr="00BC09C7">
        <w:trPr>
          <w:trHeight w:val="792"/>
        </w:trPr>
        <w:tc>
          <w:tcPr>
            <w:tcW w:w="9628" w:type="dxa"/>
            <w:shd w:val="clear" w:color="auto" w:fill="auto"/>
            <w:vAlign w:val="center"/>
          </w:tcPr>
          <w:p w14:paraId="1E6E0D76" w14:textId="1F45CD78" w:rsidR="00BC09C7" w:rsidRPr="00767B70" w:rsidRDefault="00BC09C7" w:rsidP="00C758AC">
            <w:pPr>
              <w:spacing w:before="60" w:after="60"/>
              <w:rPr>
                <w:rFonts w:ascii="Times New Roman" w:hAnsi="Times New Roman"/>
                <w:b/>
                <w:sz w:val="28"/>
                <w:szCs w:val="28"/>
              </w:rPr>
            </w:pPr>
            <w:r>
              <w:rPr>
                <w:rFonts w:ascii="Times New Roman" w:hAnsi="Times New Roman"/>
                <w:b/>
                <w:sz w:val="28"/>
                <w:szCs w:val="28"/>
              </w:rPr>
              <w:t>TUTOR</w:t>
            </w:r>
          </w:p>
          <w:p w14:paraId="7F073830" w14:textId="32863018" w:rsidR="00BC09C7" w:rsidRDefault="00DA314A" w:rsidP="00C758AC">
            <w:pPr>
              <w:spacing w:before="60" w:after="60"/>
              <w:rPr>
                <w:rFonts w:ascii="Times New Roman" w:hAnsi="Times New Roman"/>
                <w:b/>
                <w:sz w:val="28"/>
                <w:szCs w:val="28"/>
              </w:rPr>
            </w:pPr>
            <w:r>
              <w:rPr>
                <w:rFonts w:ascii="Times New Roman" w:hAnsi="Times New Roman"/>
                <w:b/>
                <w:sz w:val="28"/>
                <w:szCs w:val="28"/>
              </w:rPr>
              <w:t xml:space="preserve">Prof </w:t>
            </w:r>
            <w:proofErr w:type="spellStart"/>
            <w:r>
              <w:rPr>
                <w:rFonts w:ascii="Times New Roman" w:hAnsi="Times New Roman"/>
                <w:b/>
                <w:sz w:val="28"/>
                <w:szCs w:val="28"/>
              </w:rPr>
              <w:t>Gianandrea</w:t>
            </w:r>
            <w:proofErr w:type="spellEnd"/>
            <w:r>
              <w:rPr>
                <w:rFonts w:ascii="Times New Roman" w:hAnsi="Times New Roman"/>
                <w:b/>
                <w:sz w:val="28"/>
                <w:szCs w:val="28"/>
              </w:rPr>
              <w:t xml:space="preserve"> Pasquinelli</w:t>
            </w:r>
          </w:p>
          <w:p w14:paraId="3B7A2315" w14:textId="77777777" w:rsidR="000C05F0" w:rsidRPr="00767B70" w:rsidRDefault="000C05F0" w:rsidP="00C758AC">
            <w:pPr>
              <w:spacing w:before="60" w:after="60"/>
              <w:rPr>
                <w:rFonts w:ascii="Times New Roman" w:hAnsi="Times New Roman"/>
                <w:b/>
                <w:sz w:val="28"/>
                <w:szCs w:val="28"/>
              </w:rPr>
            </w:pPr>
          </w:p>
          <w:p w14:paraId="53037ED9" w14:textId="77777777" w:rsidR="00BC09C7" w:rsidRPr="00767B70" w:rsidRDefault="00BC09C7" w:rsidP="00C758AC">
            <w:pPr>
              <w:spacing w:before="60" w:after="60"/>
              <w:rPr>
                <w:rFonts w:ascii="Times New Roman" w:hAnsi="Times New Roman"/>
                <w:b/>
                <w:sz w:val="28"/>
                <w:szCs w:val="28"/>
              </w:rPr>
            </w:pPr>
          </w:p>
        </w:tc>
      </w:tr>
      <w:tr w:rsidR="00BC09C7" w:rsidRPr="00767B70" w14:paraId="09E479A4" w14:textId="77777777" w:rsidTr="00C758AC">
        <w:trPr>
          <w:trHeight w:val="792"/>
        </w:trPr>
        <w:tc>
          <w:tcPr>
            <w:tcW w:w="9628" w:type="dxa"/>
            <w:shd w:val="clear" w:color="auto" w:fill="auto"/>
            <w:vAlign w:val="center"/>
          </w:tcPr>
          <w:p w14:paraId="462D6F13" w14:textId="77777777" w:rsidR="00BC09C7" w:rsidRDefault="00BC09C7" w:rsidP="00BC09C7">
            <w:pPr>
              <w:spacing w:before="60" w:after="60"/>
              <w:rPr>
                <w:rFonts w:ascii="Times New Roman" w:hAnsi="Times New Roman"/>
                <w:b/>
                <w:sz w:val="28"/>
                <w:szCs w:val="28"/>
              </w:rPr>
            </w:pPr>
            <w:r w:rsidRPr="00767B70">
              <w:rPr>
                <w:rFonts w:ascii="Times New Roman" w:hAnsi="Times New Roman"/>
                <w:b/>
                <w:sz w:val="28"/>
                <w:szCs w:val="28"/>
              </w:rPr>
              <w:t>TITOLO DEL PROGETTO</w:t>
            </w:r>
          </w:p>
          <w:p w14:paraId="181F61BE" w14:textId="71B7BBA8" w:rsidR="00BC09C7" w:rsidRDefault="001F0CA4" w:rsidP="00BC09C7">
            <w:pPr>
              <w:spacing w:before="60" w:after="60"/>
              <w:rPr>
                <w:rFonts w:ascii="Times New Roman" w:hAnsi="Times New Roman"/>
                <w:b/>
                <w:sz w:val="28"/>
                <w:szCs w:val="28"/>
              </w:rPr>
            </w:pPr>
            <w:proofErr w:type="spellStart"/>
            <w:r>
              <w:rPr>
                <w:rFonts w:ascii="Times New Roman" w:hAnsi="Times New Roman"/>
                <w:b/>
                <w:sz w:val="28"/>
                <w:szCs w:val="28"/>
              </w:rPr>
              <w:t>One</w:t>
            </w:r>
            <w:proofErr w:type="spellEnd"/>
            <w:r>
              <w:rPr>
                <w:rFonts w:ascii="Times New Roman" w:hAnsi="Times New Roman"/>
                <w:b/>
                <w:sz w:val="28"/>
                <w:szCs w:val="28"/>
              </w:rPr>
              <w:t xml:space="preserve"> </w:t>
            </w:r>
            <w:proofErr w:type="spellStart"/>
            <w:r>
              <w:rPr>
                <w:rFonts w:ascii="Times New Roman" w:hAnsi="Times New Roman"/>
                <w:b/>
                <w:sz w:val="28"/>
                <w:szCs w:val="28"/>
              </w:rPr>
              <w:t>day</w:t>
            </w:r>
            <w:proofErr w:type="spellEnd"/>
            <w:r>
              <w:rPr>
                <w:rFonts w:ascii="Times New Roman" w:hAnsi="Times New Roman"/>
                <w:b/>
                <w:sz w:val="28"/>
                <w:szCs w:val="28"/>
              </w:rPr>
              <w:t xml:space="preserve"> screening per la steatosi epatica non alcolica </w:t>
            </w:r>
          </w:p>
          <w:p w14:paraId="5AA1BD35" w14:textId="77777777" w:rsidR="00BC09C7" w:rsidRPr="00767B70" w:rsidRDefault="00BC09C7" w:rsidP="00DA314A">
            <w:pPr>
              <w:spacing w:before="60" w:after="60"/>
              <w:rPr>
                <w:rFonts w:ascii="Times New Roman" w:hAnsi="Times New Roman"/>
                <w:b/>
                <w:sz w:val="28"/>
                <w:szCs w:val="28"/>
              </w:rPr>
            </w:pPr>
          </w:p>
        </w:tc>
      </w:tr>
      <w:tr w:rsidR="00767B70" w:rsidRPr="00767B70" w14:paraId="4F4CE69F" w14:textId="77777777" w:rsidTr="00FE45E2">
        <w:trPr>
          <w:trHeight w:val="1545"/>
        </w:trPr>
        <w:tc>
          <w:tcPr>
            <w:tcW w:w="9628" w:type="dxa"/>
            <w:shd w:val="clear" w:color="auto" w:fill="auto"/>
          </w:tcPr>
          <w:p w14:paraId="120E5EC4" w14:textId="77777777" w:rsidR="00C81FE9" w:rsidRDefault="00C81FE9" w:rsidP="00114FD5">
            <w:pPr>
              <w:spacing w:before="60" w:after="60"/>
              <w:rPr>
                <w:rFonts w:ascii="Times New Roman" w:hAnsi="Times New Roman"/>
                <w:b/>
                <w:sz w:val="28"/>
                <w:szCs w:val="28"/>
              </w:rPr>
            </w:pPr>
            <w:r w:rsidRPr="00767B70">
              <w:rPr>
                <w:rFonts w:ascii="Times New Roman" w:hAnsi="Times New Roman"/>
                <w:b/>
                <w:sz w:val="28"/>
                <w:szCs w:val="28"/>
              </w:rPr>
              <w:t xml:space="preserve">DESCRIZIONE DEL PROGETTO DI RICERCA </w:t>
            </w:r>
          </w:p>
          <w:p w14:paraId="3A0CF8A6" w14:textId="616670E4" w:rsidR="00046577" w:rsidRPr="007F5B2D" w:rsidRDefault="00DA314A" w:rsidP="00046577">
            <w:pPr>
              <w:spacing w:before="57" w:after="57"/>
            </w:pPr>
            <w:r w:rsidRPr="007F5B2D">
              <w:t xml:space="preserve">La steatosi epatica non alcolica (NAFLD) sta emergendo come una delle principali cause di malattia del fegato in tutto il mondo con una prevalenza </w:t>
            </w:r>
            <w:r w:rsidR="001F0CA4">
              <w:t>variabile dal</w:t>
            </w:r>
            <w:r w:rsidRPr="007F5B2D">
              <w:t xml:space="preserve"> 17</w:t>
            </w:r>
            <w:r w:rsidR="001F0CA4">
              <w:t>%</w:t>
            </w:r>
            <w:r w:rsidRPr="007F5B2D">
              <w:t xml:space="preserve"> al 46%</w:t>
            </w:r>
            <w:r w:rsidR="001F0CA4">
              <w:t xml:space="preserve"> nella popolazione generale,</w:t>
            </w:r>
            <w:r w:rsidRPr="007F5B2D">
              <w:t xml:space="preserve"> </w:t>
            </w:r>
            <w:r w:rsidR="001F0CA4">
              <w:t>a seconda della metodica utilizzata per porr</w:t>
            </w:r>
            <w:r w:rsidRPr="007F5B2D">
              <w:t>e diagnosi</w:t>
            </w:r>
            <w:r>
              <w:t>.</w:t>
            </w:r>
            <w:r w:rsidRPr="007F5B2D">
              <w:t xml:space="preserve"> La steatosi epatica è stata sino a poco tempo fa impropriamente ritenuta una patologia benigna. Tuttavia, recentemente è emerso in modo chiaro che in oltre il 40% è in grado di portare alla formazione di fibrosi del fegato fin</w:t>
            </w:r>
            <w:r>
              <w:t>o alla cirrosi vera e propria</w:t>
            </w:r>
            <w:r w:rsidRPr="007F5B2D">
              <w:t>; questo rischio di progressione è particolarmente elevato nelle steato</w:t>
            </w:r>
            <w:r>
              <w:t>si di grado moderato e severo</w:t>
            </w:r>
            <w:r w:rsidRPr="007F5B2D">
              <w:t>.</w:t>
            </w:r>
            <w:r>
              <w:t xml:space="preserve"> </w:t>
            </w:r>
            <w:r w:rsidR="00046577">
              <w:t xml:space="preserve">La NAFLD comprende, infatti, </w:t>
            </w:r>
            <w:r w:rsidR="00046577" w:rsidRPr="007F5B2D">
              <w:t xml:space="preserve">un ampio spettro di gravità, che va dalla semplice steatosi (cosiddetto "fegato grasso"), alla </w:t>
            </w:r>
            <w:proofErr w:type="spellStart"/>
            <w:r w:rsidR="00046577" w:rsidRPr="007F5B2D">
              <w:t>steatoepatite</w:t>
            </w:r>
            <w:proofErr w:type="spellEnd"/>
            <w:r w:rsidR="00046577" w:rsidRPr="007F5B2D">
              <w:t xml:space="preserve"> non alcolica (NASH) con infiammazione e fibrosi che possono progredire fino all</w:t>
            </w:r>
            <w:r w:rsidR="00046577">
              <w:t>a cirrosi e al cancro di fegato. A</w:t>
            </w:r>
            <w:r w:rsidR="00046577" w:rsidRPr="007F5B2D">
              <w:t>ttualmente circa il 20-30% dei trapianti di fegato sono attribuibili a evoluzione della NASH.</w:t>
            </w:r>
          </w:p>
          <w:p w14:paraId="24B7A6A4" w14:textId="5CE40283" w:rsidR="00C81FE9" w:rsidRDefault="00DA314A" w:rsidP="00114FD5">
            <w:pPr>
              <w:spacing w:before="60" w:after="60"/>
            </w:pPr>
            <w:r>
              <w:t>L</w:t>
            </w:r>
            <w:r w:rsidRPr="007F5B2D">
              <w:t>a NAFLD è associata a componenti della sindrome metabolica</w:t>
            </w:r>
            <w:r>
              <w:t xml:space="preserve">. </w:t>
            </w:r>
            <w:r w:rsidRPr="00744052">
              <w:t>Ad oggi, i pazienti che giungono presso la nostra SSD per visita di</w:t>
            </w:r>
            <w:r>
              <w:t>etologica, non vengono sottoposti a screening</w:t>
            </w:r>
            <w:r w:rsidRPr="00744052">
              <w:t xml:space="preserve"> per la NASH</w:t>
            </w:r>
            <w:r>
              <w:t>, ma vengono esclusivamente trattati per la perdita di peso.</w:t>
            </w:r>
          </w:p>
          <w:p w14:paraId="196621BA" w14:textId="77777777" w:rsidR="00DA314A" w:rsidRPr="0016592C" w:rsidRDefault="00DA314A" w:rsidP="00114FD5">
            <w:pPr>
              <w:pStyle w:val="Titolo4"/>
              <w:ind w:left="864" w:hanging="864"/>
              <w:rPr>
                <w:rFonts w:asciiTheme="minorHAnsi" w:hAnsiTheme="minorHAnsi" w:cstheme="minorHAnsi"/>
                <w:sz w:val="22"/>
                <w:szCs w:val="22"/>
              </w:rPr>
            </w:pPr>
            <w:r w:rsidRPr="0016592C">
              <w:rPr>
                <w:rFonts w:asciiTheme="minorHAnsi" w:hAnsiTheme="minorHAnsi" w:cstheme="minorHAnsi"/>
                <w:sz w:val="22"/>
                <w:szCs w:val="22"/>
              </w:rPr>
              <w:t>Obiettivo primario</w:t>
            </w:r>
          </w:p>
          <w:p w14:paraId="7E28A5C6" w14:textId="47EC21F5" w:rsidR="00DA314A" w:rsidRPr="00DA314A" w:rsidRDefault="00DA314A" w:rsidP="00114FD5">
            <w:pPr>
              <w:pStyle w:val="Paragrafoelenco"/>
              <w:spacing w:before="57" w:after="57"/>
              <w:ind w:left="22"/>
              <w:rPr>
                <w:b/>
                <w:bCs/>
              </w:rPr>
            </w:pPr>
            <w:r>
              <w:t>-</w:t>
            </w:r>
            <w:r w:rsidRPr="00DA314A">
              <w:rPr>
                <w:rFonts w:asciiTheme="minorHAnsi" w:hAnsiTheme="minorHAnsi"/>
                <w:lang w:eastAsia="it-IT"/>
              </w:rPr>
              <w:t xml:space="preserve">Valutare la fattibilità di un programma di screening in unica giornata per l'identificazione di pazienti con sindrome metabolica (SM) ad alto rischio di sviluppo di complicanze collegate alla NAFLD, comprendente l'effettuazione di elastometria epatica mediante il </w:t>
            </w:r>
            <w:proofErr w:type="spellStart"/>
            <w:r w:rsidRPr="00DA314A">
              <w:rPr>
                <w:rFonts w:asciiTheme="minorHAnsi" w:hAnsiTheme="minorHAnsi"/>
                <w:lang w:eastAsia="it-IT"/>
              </w:rPr>
              <w:t>FibroScan</w:t>
            </w:r>
            <w:proofErr w:type="spellEnd"/>
            <w:r w:rsidRPr="00DA314A">
              <w:rPr>
                <w:rFonts w:asciiTheme="minorHAnsi" w:hAnsiTheme="minorHAnsi"/>
                <w:lang w:eastAsia="it-IT"/>
              </w:rPr>
              <w:t>® 630 Expert</w:t>
            </w:r>
            <w:r w:rsidRPr="00DA314A">
              <w:rPr>
                <w:b/>
                <w:bCs/>
              </w:rPr>
              <w:t xml:space="preserve"> </w:t>
            </w:r>
          </w:p>
          <w:p w14:paraId="786C8886" w14:textId="77777777" w:rsidR="00DA314A" w:rsidRPr="0016592C" w:rsidRDefault="00DA314A" w:rsidP="00114FD5">
            <w:pPr>
              <w:pStyle w:val="Titolo4"/>
              <w:ind w:left="864" w:hanging="864"/>
              <w:rPr>
                <w:rFonts w:asciiTheme="minorHAnsi" w:hAnsiTheme="minorHAnsi" w:cstheme="minorHAnsi"/>
                <w:sz w:val="22"/>
                <w:szCs w:val="22"/>
              </w:rPr>
            </w:pPr>
            <w:r w:rsidRPr="0016592C">
              <w:rPr>
                <w:rFonts w:asciiTheme="minorHAnsi" w:hAnsiTheme="minorHAnsi" w:cstheme="minorHAnsi"/>
                <w:sz w:val="22"/>
                <w:szCs w:val="22"/>
              </w:rPr>
              <w:t>Obiettivi secondari</w:t>
            </w:r>
          </w:p>
          <w:p w14:paraId="76BE7696" w14:textId="5D5F3E12" w:rsidR="00DA314A" w:rsidRPr="00DA314A" w:rsidRDefault="00DA314A" w:rsidP="00114FD5">
            <w:pPr>
              <w:spacing w:before="57" w:after="57"/>
              <w:rPr>
                <w:bCs/>
              </w:rPr>
            </w:pPr>
            <w:r>
              <w:rPr>
                <w:bCs/>
              </w:rPr>
              <w:t>-</w:t>
            </w:r>
            <w:r w:rsidRPr="00DA314A">
              <w:rPr>
                <w:bCs/>
              </w:rPr>
              <w:t>Stimare la prevalenza della steatosi epatica nei pazienti affetti da SM</w:t>
            </w:r>
          </w:p>
          <w:p w14:paraId="03D846B7" w14:textId="5948EB45" w:rsidR="00DA314A" w:rsidRPr="00DA314A" w:rsidRDefault="00DA314A" w:rsidP="00114FD5">
            <w:pPr>
              <w:spacing w:before="57" w:after="57"/>
              <w:rPr>
                <w:bCs/>
              </w:rPr>
            </w:pPr>
            <w:r>
              <w:rPr>
                <w:bCs/>
              </w:rPr>
              <w:t>-</w:t>
            </w:r>
            <w:r w:rsidRPr="00DA314A">
              <w:rPr>
                <w:bCs/>
              </w:rPr>
              <w:t>Stimare la prevalenza di fibrosi epatica nei pazienti affetti da SM</w:t>
            </w:r>
          </w:p>
          <w:p w14:paraId="1B1D9574" w14:textId="43D229BC" w:rsidR="00DA314A" w:rsidRPr="00DA314A" w:rsidRDefault="00DA314A" w:rsidP="00114FD5">
            <w:pPr>
              <w:spacing w:before="57" w:after="57"/>
              <w:rPr>
                <w:bCs/>
              </w:rPr>
            </w:pPr>
            <w:r>
              <w:rPr>
                <w:bCs/>
              </w:rPr>
              <w:lastRenderedPageBreak/>
              <w:t>-</w:t>
            </w:r>
            <w:r w:rsidRPr="00DA314A">
              <w:rPr>
                <w:bCs/>
              </w:rPr>
              <w:t xml:space="preserve">Per i soggetti con </w:t>
            </w:r>
            <w:proofErr w:type="spellStart"/>
            <w:r w:rsidRPr="00DA314A">
              <w:rPr>
                <w:bCs/>
              </w:rPr>
              <w:t>steatoepatite</w:t>
            </w:r>
            <w:proofErr w:type="spellEnd"/>
            <w:r w:rsidRPr="00DA314A">
              <w:rPr>
                <w:bCs/>
              </w:rPr>
              <w:t xml:space="preserve"> con stimato elevato rischio di evoluzione fibrotica, per i quali verrà impostato un programma individuale e di gruppo di modifica dello stile di vita ad approccio cognitivo – comportamentale, sono stati stabiliti i seguenti </w:t>
            </w:r>
            <w:proofErr w:type="spellStart"/>
            <w:r w:rsidRPr="00DA314A">
              <w:rPr>
                <w:bCs/>
              </w:rPr>
              <w:t>endpoint</w:t>
            </w:r>
            <w:proofErr w:type="spellEnd"/>
            <w:r w:rsidRPr="00DA314A">
              <w:rPr>
                <w:bCs/>
              </w:rPr>
              <w:t xml:space="preserve">:  </w:t>
            </w:r>
          </w:p>
          <w:p w14:paraId="58FB34BE" w14:textId="77777777" w:rsidR="00DA314A" w:rsidRPr="00380EB0" w:rsidRDefault="00DA314A" w:rsidP="00114FD5">
            <w:pPr>
              <w:pStyle w:val="Paragrafoelenco"/>
              <w:numPr>
                <w:ilvl w:val="0"/>
                <w:numId w:val="4"/>
              </w:numPr>
              <w:jc w:val="both"/>
              <w:rPr>
                <w:rFonts w:asciiTheme="minorHAnsi" w:hAnsiTheme="minorHAnsi"/>
                <w:bCs/>
              </w:rPr>
            </w:pPr>
            <w:r>
              <w:rPr>
                <w:rFonts w:asciiTheme="minorHAnsi" w:hAnsiTheme="minorHAnsi"/>
                <w:bCs/>
              </w:rPr>
              <w:t>Riduzione del</w:t>
            </w:r>
            <w:r w:rsidRPr="00380EB0">
              <w:rPr>
                <w:rFonts w:asciiTheme="minorHAnsi" w:hAnsiTheme="minorHAnsi"/>
                <w:bCs/>
              </w:rPr>
              <w:t xml:space="preserve"> 10% del peso corporeo entro 6 mesi dall'</w:t>
            </w:r>
            <w:r>
              <w:rPr>
                <w:rFonts w:asciiTheme="minorHAnsi" w:hAnsiTheme="minorHAnsi"/>
                <w:bCs/>
              </w:rPr>
              <w:t xml:space="preserve">inizio del trattamento nel 30% dei soggetti e riduzione di almeno il 5% </w:t>
            </w:r>
            <w:r w:rsidRPr="00380EB0">
              <w:rPr>
                <w:rFonts w:asciiTheme="minorHAnsi" w:hAnsiTheme="minorHAnsi"/>
                <w:bCs/>
              </w:rPr>
              <w:t>peso corpor</w:t>
            </w:r>
            <w:r>
              <w:rPr>
                <w:rFonts w:asciiTheme="minorHAnsi" w:hAnsiTheme="minorHAnsi"/>
                <w:bCs/>
              </w:rPr>
              <w:t>eo entro 6 mesi dall'inizio del trattamento nel 40% dei soggetti.</w:t>
            </w:r>
          </w:p>
          <w:p w14:paraId="116F8484" w14:textId="296A3F84" w:rsidR="001F0CA4" w:rsidRDefault="00DA314A" w:rsidP="00114FD5">
            <w:pPr>
              <w:pStyle w:val="Paragrafoelenco"/>
              <w:numPr>
                <w:ilvl w:val="0"/>
                <w:numId w:val="4"/>
              </w:numPr>
              <w:jc w:val="both"/>
              <w:rPr>
                <w:rFonts w:asciiTheme="minorHAnsi" w:hAnsiTheme="minorHAnsi"/>
                <w:bCs/>
              </w:rPr>
            </w:pPr>
            <w:r w:rsidRPr="0061410B">
              <w:rPr>
                <w:rFonts w:asciiTheme="minorHAnsi" w:hAnsiTheme="minorHAnsi"/>
                <w:bCs/>
              </w:rPr>
              <w:t xml:space="preserve">riduzione del valore di steatosi epatica misurata dalla CAP </w:t>
            </w:r>
            <w:r>
              <w:rPr>
                <w:rFonts w:asciiTheme="minorHAnsi" w:hAnsiTheme="minorHAnsi"/>
                <w:bCs/>
              </w:rPr>
              <w:t xml:space="preserve">e riduzione della </w:t>
            </w:r>
            <w:proofErr w:type="spellStart"/>
            <w:r>
              <w:rPr>
                <w:rFonts w:asciiTheme="minorHAnsi" w:hAnsiTheme="minorHAnsi"/>
                <w:bCs/>
              </w:rPr>
              <w:t>stifness</w:t>
            </w:r>
            <w:proofErr w:type="spellEnd"/>
            <w:r>
              <w:rPr>
                <w:rFonts w:asciiTheme="minorHAnsi" w:hAnsiTheme="minorHAnsi"/>
                <w:bCs/>
              </w:rPr>
              <w:t xml:space="preserve"> epatica </w:t>
            </w:r>
            <w:r w:rsidRPr="0061410B">
              <w:rPr>
                <w:rFonts w:asciiTheme="minorHAnsi" w:hAnsiTheme="minorHAnsi"/>
                <w:bCs/>
              </w:rPr>
              <w:t xml:space="preserve">a 6 mesi </w:t>
            </w:r>
            <w:r>
              <w:rPr>
                <w:rFonts w:asciiTheme="minorHAnsi" w:hAnsiTheme="minorHAnsi"/>
                <w:bCs/>
              </w:rPr>
              <w:t>dall’inizio del trattamento.</w:t>
            </w:r>
          </w:p>
          <w:p w14:paraId="65EC2270" w14:textId="77777777" w:rsidR="001F0CA4" w:rsidRPr="007F5B2D" w:rsidRDefault="001F0CA4" w:rsidP="00114FD5">
            <w:pPr>
              <w:spacing w:before="57" w:after="57"/>
              <w:rPr>
                <w:bCs/>
              </w:rPr>
            </w:pPr>
            <w:r w:rsidRPr="007F5B2D">
              <w:rPr>
                <w:bCs/>
              </w:rPr>
              <w:t xml:space="preserve">Si prevede – nell'arco della durata del progetto – di sottoporre al </w:t>
            </w:r>
            <w:proofErr w:type="spellStart"/>
            <w:r w:rsidRPr="007F5B2D">
              <w:rPr>
                <w:bCs/>
              </w:rPr>
              <w:t>one</w:t>
            </w:r>
            <w:proofErr w:type="spellEnd"/>
            <w:r w:rsidRPr="007F5B2D">
              <w:rPr>
                <w:bCs/>
              </w:rPr>
              <w:t xml:space="preserve"> </w:t>
            </w:r>
            <w:proofErr w:type="spellStart"/>
            <w:r w:rsidRPr="007F5B2D">
              <w:rPr>
                <w:bCs/>
              </w:rPr>
              <w:t>day</w:t>
            </w:r>
            <w:proofErr w:type="spellEnd"/>
            <w:r w:rsidRPr="007F5B2D">
              <w:rPr>
                <w:bCs/>
              </w:rPr>
              <w:t xml:space="preserve"> screening circa 500</w:t>
            </w:r>
            <w:r>
              <w:rPr>
                <w:bCs/>
              </w:rPr>
              <w:t xml:space="preserve"> pazienti adulti ambosessi con S</w:t>
            </w:r>
            <w:r w:rsidRPr="007F5B2D">
              <w:rPr>
                <w:bCs/>
              </w:rPr>
              <w:t>M già diagnosticata inviati da MMG od altri specialisti.</w:t>
            </w:r>
          </w:p>
          <w:p w14:paraId="2EF21EB2" w14:textId="77777777" w:rsidR="001F0CA4" w:rsidRDefault="001F0CA4" w:rsidP="00114FD5">
            <w:pPr>
              <w:spacing w:before="57" w:after="57"/>
              <w:rPr>
                <w:bCs/>
              </w:rPr>
            </w:pPr>
            <w:r w:rsidRPr="007F5B2D">
              <w:rPr>
                <w:bCs/>
              </w:rPr>
              <w:t>I soggetti a cui verrà stimato un alto rischio di evoluzione fibrotica (numerosità stimata n=180) verranno indirizzati ad un programma individuale e di gruppo di modifica dello stile di vita ad approccio cognitivo - comportamentale con efficacia documentata. Ai restanti soggetti già al termine della visita di screening verranno forniti suggerimenti personalizzati per la modifica delle abitudini alimentari e dello stile di vita sulla base di quanto emerso da</w:t>
            </w:r>
            <w:r>
              <w:rPr>
                <w:bCs/>
              </w:rPr>
              <w:t>l</w:t>
            </w:r>
            <w:r w:rsidRPr="007F5B2D">
              <w:rPr>
                <w:bCs/>
              </w:rPr>
              <w:t xml:space="preserve"> questionari</w:t>
            </w:r>
            <w:r>
              <w:rPr>
                <w:bCs/>
              </w:rPr>
              <w:t>o</w:t>
            </w:r>
            <w:r w:rsidRPr="007F5B2D">
              <w:rPr>
                <w:bCs/>
              </w:rPr>
              <w:t>.</w:t>
            </w:r>
          </w:p>
          <w:p w14:paraId="19905DBF" w14:textId="77777777" w:rsidR="001F0CA4" w:rsidRPr="007F5B2D" w:rsidRDefault="001F0CA4" w:rsidP="00114FD5">
            <w:pPr>
              <w:spacing w:before="57" w:after="57"/>
              <w:rPr>
                <w:bCs/>
              </w:rPr>
            </w:pPr>
            <w:r>
              <w:rPr>
                <w:bCs/>
              </w:rPr>
              <w:t xml:space="preserve">Qualora dai dati esaminati emergesse la presenza di cirrosi epatica, si provvederà a riferire il paziente ai Colleghi Epatologi del Policlinico </w:t>
            </w:r>
            <w:proofErr w:type="spellStart"/>
            <w:proofErr w:type="gramStart"/>
            <w:r>
              <w:rPr>
                <w:bCs/>
              </w:rPr>
              <w:t>S.Orsola</w:t>
            </w:r>
            <w:proofErr w:type="spellEnd"/>
            <w:proofErr w:type="gramEnd"/>
            <w:r>
              <w:rPr>
                <w:bCs/>
              </w:rPr>
              <w:t>.</w:t>
            </w:r>
          </w:p>
          <w:p w14:paraId="51B945C4" w14:textId="69BF0F52" w:rsidR="00DA314A" w:rsidRPr="007F5B2D" w:rsidRDefault="00DA314A" w:rsidP="00114FD5">
            <w:pPr>
              <w:spacing w:before="57" w:after="57"/>
              <w:rPr>
                <w:bCs/>
              </w:rPr>
            </w:pPr>
            <w:r w:rsidRPr="001F0CA4">
              <w:rPr>
                <w:b/>
                <w:bCs/>
                <w:u w:val="single"/>
              </w:rPr>
              <w:t xml:space="preserve">Durante il </w:t>
            </w:r>
            <w:proofErr w:type="spellStart"/>
            <w:r w:rsidRPr="001F0CA4">
              <w:rPr>
                <w:b/>
                <w:bCs/>
                <w:i/>
                <w:iCs/>
                <w:u w:val="single"/>
              </w:rPr>
              <w:t>one</w:t>
            </w:r>
            <w:proofErr w:type="spellEnd"/>
            <w:r w:rsidRPr="001F0CA4">
              <w:rPr>
                <w:b/>
                <w:bCs/>
                <w:i/>
                <w:iCs/>
                <w:u w:val="single"/>
              </w:rPr>
              <w:t xml:space="preserve"> </w:t>
            </w:r>
            <w:proofErr w:type="spellStart"/>
            <w:r w:rsidRPr="001F0CA4">
              <w:rPr>
                <w:b/>
                <w:bCs/>
                <w:i/>
                <w:iCs/>
                <w:u w:val="single"/>
              </w:rPr>
              <w:t>day</w:t>
            </w:r>
            <w:proofErr w:type="spellEnd"/>
            <w:r w:rsidRPr="001F0CA4">
              <w:rPr>
                <w:b/>
                <w:bCs/>
                <w:i/>
                <w:iCs/>
                <w:u w:val="single"/>
              </w:rPr>
              <w:t xml:space="preserve"> screening</w:t>
            </w:r>
            <w:r w:rsidRPr="001F0CA4">
              <w:rPr>
                <w:b/>
                <w:bCs/>
                <w:u w:val="single"/>
              </w:rPr>
              <w:t xml:space="preserve"> i pazienti verranno sottoposti a</w:t>
            </w:r>
            <w:r w:rsidRPr="007F5B2D">
              <w:rPr>
                <w:bCs/>
              </w:rPr>
              <w:t>:</w:t>
            </w:r>
          </w:p>
          <w:p w14:paraId="47DE860D" w14:textId="26811D0B" w:rsidR="00DA314A" w:rsidRDefault="00DA314A" w:rsidP="00114FD5">
            <w:pPr>
              <w:spacing w:before="57" w:after="57"/>
              <w:rPr>
                <w:bCs/>
              </w:rPr>
            </w:pPr>
            <w:r w:rsidRPr="00DA314A">
              <w:rPr>
                <w:bCs/>
              </w:rPr>
              <w:t>misurazione dei parametri vitali e misure antropometriche (altezza, peso, pressione arteriosa)</w:t>
            </w:r>
            <w:r>
              <w:rPr>
                <w:bCs/>
              </w:rPr>
              <w:t xml:space="preserve">, </w:t>
            </w:r>
            <w:r w:rsidRPr="00D9162E">
              <w:rPr>
                <w:bCs/>
              </w:rPr>
              <w:t xml:space="preserve">studio della composizione corporea mediante </w:t>
            </w:r>
            <w:proofErr w:type="spellStart"/>
            <w:r w:rsidRPr="00D9162E">
              <w:rPr>
                <w:bCs/>
              </w:rPr>
              <w:t>bioimpedenziometria</w:t>
            </w:r>
            <w:proofErr w:type="spellEnd"/>
            <w:r>
              <w:rPr>
                <w:bCs/>
              </w:rPr>
              <w:t xml:space="preserve">, </w:t>
            </w:r>
            <w:r w:rsidRPr="00D9162E">
              <w:rPr>
                <w:bCs/>
              </w:rPr>
              <w:t xml:space="preserve">valutazione e misurazione della steatosi e della fibrosi epatica </w:t>
            </w:r>
            <w:r w:rsidRPr="00DA314A">
              <w:rPr>
                <w:bCs/>
              </w:rPr>
              <w:t xml:space="preserve">mediante </w:t>
            </w:r>
            <w:proofErr w:type="spellStart"/>
            <w:r w:rsidRPr="00DA314A">
              <w:rPr>
                <w:bCs/>
              </w:rPr>
              <w:t>FibroScan</w:t>
            </w:r>
            <w:proofErr w:type="spellEnd"/>
            <w:r w:rsidRPr="00DA314A">
              <w:rPr>
                <w:bCs/>
              </w:rPr>
              <w:t>® 630 Expert</w:t>
            </w:r>
            <w:r>
              <w:rPr>
                <w:bCs/>
              </w:rPr>
              <w:t xml:space="preserve">, compilazione di un </w:t>
            </w:r>
            <w:r w:rsidRPr="00D9162E">
              <w:rPr>
                <w:bCs/>
              </w:rPr>
              <w:t>questionario informatizzato sullo stile di vita</w:t>
            </w:r>
            <w:r>
              <w:rPr>
                <w:bCs/>
              </w:rPr>
              <w:t>, visita medica (</w:t>
            </w:r>
            <w:r w:rsidRPr="00D9162E">
              <w:rPr>
                <w:bCs/>
              </w:rPr>
              <w:t xml:space="preserve">anamnesi, visione degli esami ematici </w:t>
            </w:r>
            <w:r>
              <w:rPr>
                <w:bCs/>
              </w:rPr>
              <w:t>e</w:t>
            </w:r>
            <w:r w:rsidRPr="00D9162E">
              <w:rPr>
                <w:bCs/>
              </w:rPr>
              <w:t>d esame obiettivo generale</w:t>
            </w:r>
            <w:r>
              <w:rPr>
                <w:bCs/>
              </w:rPr>
              <w:t>)</w:t>
            </w:r>
            <w:r w:rsidRPr="00D9162E">
              <w:rPr>
                <w:bCs/>
              </w:rPr>
              <w:t>.</w:t>
            </w:r>
          </w:p>
          <w:p w14:paraId="544442E7" w14:textId="1D9C111B" w:rsidR="00DA314A" w:rsidRPr="007F5B2D" w:rsidRDefault="00DA314A" w:rsidP="00114FD5">
            <w:pPr>
              <w:spacing w:before="57" w:after="57"/>
              <w:rPr>
                <w:b/>
                <w:bCs/>
              </w:rPr>
            </w:pPr>
            <w:r>
              <w:t>Lo specialista</w:t>
            </w:r>
            <w:r w:rsidRPr="007F5B2D">
              <w:t xml:space="preserve">, sulla base delle </w:t>
            </w:r>
            <w:r>
              <w:t xml:space="preserve">indagini effettuate </w:t>
            </w:r>
            <w:r w:rsidR="001F0CA4">
              <w:t xml:space="preserve">informazioni </w:t>
            </w:r>
            <w:r w:rsidRPr="007F5B2D">
              <w:t xml:space="preserve">sarà in grado di porre diagnosi di steatosi epatica (ed eventualmente cirrosi del fegato), ovvero stimare la probabilità di evoluzione di malattia e stabilire se il paziente appartiene a uno </w:t>
            </w:r>
            <w:r w:rsidR="001F0CA4">
              <w:t xml:space="preserve">dei seguenti </w:t>
            </w:r>
            <w:r w:rsidRPr="007F5B2D">
              <w:t>gruppi:</w:t>
            </w:r>
          </w:p>
          <w:p w14:paraId="59C7841D" w14:textId="77777777" w:rsidR="00DA314A" w:rsidRPr="007F5B2D" w:rsidRDefault="00DA314A" w:rsidP="00114FD5">
            <w:pPr>
              <w:spacing w:before="57" w:after="57"/>
            </w:pPr>
            <w:r w:rsidRPr="00D9162E">
              <w:rPr>
                <w:b/>
              </w:rPr>
              <w:t>1)</w:t>
            </w:r>
            <w:r w:rsidRPr="007F5B2D">
              <w:t xml:space="preserve"> pazienti con </w:t>
            </w:r>
            <w:r w:rsidRPr="00D9162E">
              <w:rPr>
                <w:b/>
                <w:u w:val="single"/>
              </w:rPr>
              <w:t>basso rischio di fibrosi epatica</w:t>
            </w:r>
            <w:r w:rsidRPr="007F5B2D">
              <w:t>: i pazienti verranno congedati dopo un intervento educativo nutrizionale breve, verrà fornita una brochure informativa e motivazionale sul corretto stile di vita.</w:t>
            </w:r>
          </w:p>
          <w:p w14:paraId="56243176" w14:textId="77777777" w:rsidR="00DA314A" w:rsidRPr="007F5B2D" w:rsidRDefault="00DA314A" w:rsidP="00114FD5">
            <w:pPr>
              <w:spacing w:before="57" w:after="57"/>
              <w:rPr>
                <w:bCs/>
              </w:rPr>
            </w:pPr>
            <w:r w:rsidRPr="00D9162E">
              <w:rPr>
                <w:b/>
              </w:rPr>
              <w:t>2)</w:t>
            </w:r>
            <w:r w:rsidRPr="007F5B2D">
              <w:t xml:space="preserve"> pazienti con </w:t>
            </w:r>
            <w:r w:rsidRPr="00D9162E">
              <w:rPr>
                <w:b/>
                <w:u w:val="single"/>
              </w:rPr>
              <w:t>alto rischio di fibrosi epatica</w:t>
            </w:r>
            <w:r w:rsidRPr="007F5B2D">
              <w:t>: i pazienti verranno inviati ad eseguire indagini di approfondimento e, data l'assenza di terapia farmacologia attualmente disponibile, verranno presi in carico per la partecipazione ai gruppi di terapia cognitivo-co</w:t>
            </w:r>
            <w:r>
              <w:t xml:space="preserve">mportamentale formulati ad hoc. </w:t>
            </w:r>
          </w:p>
          <w:p w14:paraId="458A6F68" w14:textId="77777777" w:rsidR="00DA314A" w:rsidRPr="007F5B2D" w:rsidRDefault="00DA314A" w:rsidP="00114FD5">
            <w:pPr>
              <w:spacing w:before="57" w:after="57"/>
            </w:pPr>
            <w:r>
              <w:t xml:space="preserve">Dopo 6 mesi dall’inizio del corso di terapia cognitivo-comportamentale il paziente verrà sottoposto a </w:t>
            </w:r>
            <w:r w:rsidRPr="007F5B2D">
              <w:rPr>
                <w:bCs/>
              </w:rPr>
              <w:t xml:space="preserve">valutazione e misurazione della steatosi e della fibrosi epatica </w:t>
            </w:r>
            <w:r w:rsidRPr="001F0CA4">
              <w:rPr>
                <w:bCs/>
              </w:rPr>
              <w:t xml:space="preserve">mediante </w:t>
            </w:r>
            <w:proofErr w:type="spellStart"/>
            <w:r w:rsidRPr="001F0CA4">
              <w:rPr>
                <w:bCs/>
              </w:rPr>
              <w:t>FibroScan</w:t>
            </w:r>
            <w:proofErr w:type="spellEnd"/>
            <w:r w:rsidRPr="001F0CA4">
              <w:rPr>
                <w:bCs/>
              </w:rPr>
              <w:t>® 630 Expert, r</w:t>
            </w:r>
            <w:r w:rsidRPr="001F0CA4">
              <w:t>egistrazione degli esami ematochimici che il paziente porterà in vision</w:t>
            </w:r>
            <w:r w:rsidRPr="00555004">
              <w:t>e (come da normale pratica clinica</w:t>
            </w:r>
            <w:r>
              <w:t xml:space="preserve"> per obesità</w:t>
            </w:r>
            <w:r w:rsidRPr="00555004">
              <w:t>)</w:t>
            </w:r>
            <w:r>
              <w:t>, c</w:t>
            </w:r>
            <w:r w:rsidRPr="00555004">
              <w:t>alcolo dei principali scor</w:t>
            </w:r>
            <w:r>
              <w:t>e predittivi di fibrosi epatica</w:t>
            </w:r>
            <w:r w:rsidRPr="00555004">
              <w:t xml:space="preserve"> </w:t>
            </w:r>
            <w:r>
              <w:t>(</w:t>
            </w:r>
            <w:r w:rsidRPr="00555004">
              <w:t xml:space="preserve">NFS, </w:t>
            </w:r>
            <w:r w:rsidRPr="00555004">
              <w:lastRenderedPageBreak/>
              <w:t>FIB-4</w:t>
            </w:r>
            <w:r>
              <w:t>), v</w:t>
            </w:r>
            <w:r w:rsidRPr="00555004">
              <w:t>isita medica (come da normale pratica clinica</w:t>
            </w:r>
            <w:r>
              <w:t>), m</w:t>
            </w:r>
            <w:r w:rsidRPr="00555004">
              <w:t xml:space="preserve">isure antropometriche (altezza, peso, pressione arteriosa, circonferenza vita) e </w:t>
            </w:r>
            <w:proofErr w:type="spellStart"/>
            <w:r w:rsidRPr="00555004">
              <w:t>bioimpedenziometria</w:t>
            </w:r>
            <w:proofErr w:type="spellEnd"/>
            <w:r w:rsidRPr="00555004">
              <w:t xml:space="preserve"> (come da normale pratica clinica)</w:t>
            </w:r>
            <w:r>
              <w:t>.</w:t>
            </w:r>
          </w:p>
          <w:p w14:paraId="6AE0C611" w14:textId="77777777" w:rsidR="00DA314A" w:rsidRDefault="00DA314A" w:rsidP="00114FD5">
            <w:pPr>
              <w:spacing w:before="57" w:after="57"/>
            </w:pPr>
            <w:r w:rsidRPr="00D9162E">
              <w:rPr>
                <w:b/>
              </w:rPr>
              <w:t>Il corso di terapia cognitivo-comportamentale</w:t>
            </w:r>
            <w:r>
              <w:t xml:space="preserve"> consiste in 12 lezioni, della durata di 2 ore ciascuna, che si svolgono a cadenza settimanale, in modalità </w:t>
            </w:r>
            <w:proofErr w:type="spellStart"/>
            <w:r>
              <w:t>webinar</w:t>
            </w:r>
            <w:proofErr w:type="spellEnd"/>
            <w:r>
              <w:t xml:space="preserve"> od in presenza.</w:t>
            </w:r>
          </w:p>
          <w:p w14:paraId="01EBD4BC" w14:textId="26672F42" w:rsidR="00767B70" w:rsidRPr="00767B70" w:rsidRDefault="00DA314A" w:rsidP="00114FD5">
            <w:pPr>
              <w:spacing w:before="57" w:after="57"/>
              <w:rPr>
                <w:b/>
                <w:sz w:val="21"/>
                <w:szCs w:val="21"/>
              </w:rPr>
            </w:pPr>
            <w:r>
              <w:t>Durante il corso vengono illustrati ai pazienti i principi della sana alimentazione e i rischi nel non seguirla, stante le attuali evidenze scientifiche. Si tratterà inoltre dell’importanza dell’attività fisica e delle possibili implicazioni della sfera emotiva sui comportamenti alimentari.</w:t>
            </w:r>
          </w:p>
        </w:tc>
      </w:tr>
      <w:tr w:rsidR="003F40CE" w:rsidRPr="00767B70" w14:paraId="04A462F3" w14:textId="77777777" w:rsidTr="00FE45E2">
        <w:trPr>
          <w:trHeight w:val="2374"/>
        </w:trPr>
        <w:tc>
          <w:tcPr>
            <w:tcW w:w="9628" w:type="dxa"/>
            <w:shd w:val="clear" w:color="auto" w:fill="auto"/>
          </w:tcPr>
          <w:p w14:paraId="79B8E42C" w14:textId="45F3B71C" w:rsidR="003F40CE" w:rsidRDefault="003F40CE" w:rsidP="0004485E">
            <w:pPr>
              <w:spacing w:before="60" w:after="60"/>
              <w:rPr>
                <w:rFonts w:ascii="Times New Roman" w:hAnsi="Times New Roman"/>
                <w:b/>
                <w:sz w:val="28"/>
                <w:szCs w:val="28"/>
              </w:rPr>
            </w:pPr>
            <w:r w:rsidRPr="00767B70">
              <w:rPr>
                <w:rFonts w:ascii="Times New Roman" w:hAnsi="Times New Roman"/>
                <w:b/>
                <w:sz w:val="28"/>
                <w:szCs w:val="28"/>
              </w:rPr>
              <w:lastRenderedPageBreak/>
              <w:t xml:space="preserve">DESCRIZIONE </w:t>
            </w:r>
            <w:r>
              <w:rPr>
                <w:rFonts w:ascii="Times New Roman" w:hAnsi="Times New Roman"/>
                <w:b/>
                <w:sz w:val="28"/>
                <w:szCs w:val="28"/>
              </w:rPr>
              <w:t>DELLE ATTIVITA’ DEL BORSISTA</w:t>
            </w:r>
            <w:r w:rsidRPr="00767B70">
              <w:rPr>
                <w:rFonts w:ascii="Times New Roman" w:hAnsi="Times New Roman"/>
                <w:b/>
                <w:sz w:val="28"/>
                <w:szCs w:val="28"/>
              </w:rPr>
              <w:t xml:space="preserve"> </w:t>
            </w:r>
          </w:p>
          <w:p w14:paraId="6F9A52FE" w14:textId="456095A8" w:rsidR="00114FD5" w:rsidRPr="00114FD5" w:rsidRDefault="00114FD5" w:rsidP="00FE45E2">
            <w:pPr>
              <w:pStyle w:val="Paragrafoelenco"/>
              <w:numPr>
                <w:ilvl w:val="0"/>
                <w:numId w:val="9"/>
              </w:numPr>
              <w:spacing w:before="60"/>
              <w:rPr>
                <w:rFonts w:asciiTheme="minorHAnsi" w:hAnsiTheme="minorHAnsi"/>
                <w:lang w:eastAsia="it-IT"/>
              </w:rPr>
            </w:pPr>
            <w:r w:rsidRPr="00114FD5">
              <w:rPr>
                <w:rFonts w:asciiTheme="minorHAnsi" w:hAnsiTheme="minorHAnsi"/>
                <w:lang w:eastAsia="it-IT"/>
              </w:rPr>
              <w:t>Attività di coordi</w:t>
            </w:r>
            <w:r>
              <w:rPr>
                <w:rFonts w:asciiTheme="minorHAnsi" w:hAnsiTheme="minorHAnsi"/>
                <w:lang w:eastAsia="it-IT"/>
              </w:rPr>
              <w:t>namento</w:t>
            </w:r>
            <w:r w:rsidRPr="00114FD5">
              <w:rPr>
                <w:rFonts w:asciiTheme="minorHAnsi" w:hAnsiTheme="minorHAnsi"/>
                <w:lang w:eastAsia="it-IT"/>
              </w:rPr>
              <w:t xml:space="preserve"> dello studio</w:t>
            </w:r>
          </w:p>
          <w:p w14:paraId="45167518" w14:textId="0487DF90" w:rsidR="003F40CE" w:rsidRPr="00FE45E2" w:rsidRDefault="0005496F" w:rsidP="00FE45E2">
            <w:pPr>
              <w:pStyle w:val="Paragrafoelenco"/>
              <w:numPr>
                <w:ilvl w:val="0"/>
                <w:numId w:val="9"/>
              </w:numPr>
              <w:spacing w:before="60"/>
              <w:rPr>
                <w:rFonts w:ascii="Times New Roman" w:hAnsi="Times New Roman"/>
                <w:b/>
                <w:sz w:val="28"/>
                <w:szCs w:val="28"/>
              </w:rPr>
            </w:pPr>
            <w:r>
              <w:rPr>
                <w:rFonts w:asciiTheme="minorHAnsi" w:hAnsiTheme="minorHAnsi"/>
                <w:lang w:eastAsia="it-IT"/>
              </w:rPr>
              <w:t>V</w:t>
            </w:r>
            <w:r w:rsidR="00FE45E2" w:rsidRPr="00FE45E2">
              <w:rPr>
                <w:rFonts w:asciiTheme="minorHAnsi" w:hAnsiTheme="minorHAnsi"/>
                <w:lang w:eastAsia="it-IT"/>
              </w:rPr>
              <w:t>isita medica (anamnesi, visione degli esami ematici ed esame obiettivo generale mi</w:t>
            </w:r>
            <w:r w:rsidR="00FE45E2">
              <w:rPr>
                <w:rFonts w:asciiTheme="minorHAnsi" w:hAnsiTheme="minorHAnsi"/>
                <w:lang w:eastAsia="it-IT"/>
              </w:rPr>
              <w:t>surazione dei parametri vitali)</w:t>
            </w:r>
          </w:p>
          <w:p w14:paraId="3CAF76DB" w14:textId="3694C5E4" w:rsidR="00FE45E2" w:rsidRPr="00341C07" w:rsidRDefault="00FE45E2" w:rsidP="00FE45E2">
            <w:pPr>
              <w:pStyle w:val="Paragrafoelenco"/>
              <w:numPr>
                <w:ilvl w:val="0"/>
                <w:numId w:val="7"/>
              </w:numPr>
              <w:spacing w:before="57" w:after="57"/>
              <w:rPr>
                <w:rFonts w:asciiTheme="minorHAnsi" w:hAnsiTheme="minorHAnsi" w:cstheme="minorHAnsi"/>
              </w:rPr>
            </w:pPr>
            <w:r>
              <w:rPr>
                <w:rFonts w:asciiTheme="minorHAnsi" w:hAnsiTheme="minorHAnsi" w:cstheme="minorHAnsi"/>
              </w:rPr>
              <w:t>Preparazione</w:t>
            </w:r>
            <w:r w:rsidRPr="00341C07">
              <w:rPr>
                <w:rFonts w:asciiTheme="minorHAnsi" w:hAnsiTheme="minorHAnsi" w:cstheme="minorHAnsi"/>
              </w:rPr>
              <w:t xml:space="preserve"> e partecipazione ai corsi di terapia cognitivo comportamentale per i pazi</w:t>
            </w:r>
            <w:r>
              <w:rPr>
                <w:rFonts w:asciiTheme="minorHAnsi" w:hAnsiTheme="minorHAnsi" w:cstheme="minorHAnsi"/>
              </w:rPr>
              <w:t>e</w:t>
            </w:r>
            <w:r w:rsidRPr="00341C07">
              <w:rPr>
                <w:rFonts w:asciiTheme="minorHAnsi" w:hAnsiTheme="minorHAnsi" w:cstheme="minorHAnsi"/>
              </w:rPr>
              <w:t>nti con alto rischio di sviluppare fibrosi</w:t>
            </w:r>
          </w:p>
          <w:p w14:paraId="7CA637D6" w14:textId="3CCBDBAB" w:rsidR="00FE45E2" w:rsidRPr="00341C07" w:rsidRDefault="00FE45E2" w:rsidP="00FE45E2">
            <w:pPr>
              <w:pStyle w:val="Paragrafoelenco"/>
              <w:numPr>
                <w:ilvl w:val="0"/>
                <w:numId w:val="7"/>
              </w:numPr>
              <w:spacing w:before="57" w:after="57"/>
              <w:rPr>
                <w:rFonts w:asciiTheme="minorHAnsi" w:hAnsiTheme="minorHAnsi" w:cstheme="minorHAnsi"/>
              </w:rPr>
            </w:pPr>
            <w:r>
              <w:rPr>
                <w:rFonts w:asciiTheme="minorHAnsi" w:hAnsiTheme="minorHAnsi" w:cstheme="minorHAnsi"/>
              </w:rPr>
              <w:t xml:space="preserve">Raccolta ed analisi </w:t>
            </w:r>
            <w:r w:rsidRPr="00341C07">
              <w:rPr>
                <w:rFonts w:asciiTheme="minorHAnsi" w:hAnsiTheme="minorHAnsi" w:cstheme="minorHAnsi"/>
              </w:rPr>
              <w:t>dei dati</w:t>
            </w:r>
          </w:p>
          <w:p w14:paraId="0FB8F74B" w14:textId="0F4F4541" w:rsidR="00FE45E2" w:rsidRPr="00341C07" w:rsidRDefault="00FE45E2" w:rsidP="00FE45E2">
            <w:pPr>
              <w:pStyle w:val="Paragrafoelenco"/>
              <w:numPr>
                <w:ilvl w:val="0"/>
                <w:numId w:val="7"/>
              </w:numPr>
              <w:suppressAutoHyphens/>
              <w:spacing w:before="57" w:after="57"/>
              <w:rPr>
                <w:rFonts w:asciiTheme="minorHAnsi" w:hAnsiTheme="minorHAnsi" w:cstheme="minorHAnsi"/>
              </w:rPr>
            </w:pPr>
            <w:r>
              <w:rPr>
                <w:rFonts w:asciiTheme="minorHAnsi" w:hAnsiTheme="minorHAnsi" w:cstheme="minorHAnsi"/>
              </w:rPr>
              <w:t>Attività</w:t>
            </w:r>
            <w:r w:rsidRPr="00341C07">
              <w:rPr>
                <w:rFonts w:asciiTheme="minorHAnsi" w:hAnsiTheme="minorHAnsi" w:cstheme="minorHAnsi"/>
              </w:rPr>
              <w:t xml:space="preserve"> di divulgazione scientifica</w:t>
            </w:r>
          </w:p>
          <w:p w14:paraId="6446A13C" w14:textId="77777777" w:rsidR="003F40CE" w:rsidRPr="00767B70" w:rsidRDefault="003F40CE" w:rsidP="0004485E">
            <w:pPr>
              <w:pStyle w:val="NormaleWeb"/>
              <w:spacing w:before="0" w:beforeAutospacing="0" w:after="120" w:afterAutospacing="0"/>
              <w:jc w:val="both"/>
              <w:rPr>
                <w:b/>
                <w:sz w:val="21"/>
                <w:szCs w:val="21"/>
              </w:rPr>
            </w:pPr>
          </w:p>
        </w:tc>
      </w:tr>
    </w:tbl>
    <w:p w14:paraId="0AA3686F" w14:textId="77777777" w:rsidR="003F40CE" w:rsidRPr="00767B70" w:rsidRDefault="003F40CE" w:rsidP="003F40CE">
      <w:pPr>
        <w:rPr>
          <w:rFonts w:ascii="Times New Roman" w:hAnsi="Times New Roman"/>
          <w:color w:val="FF0000"/>
          <w:sz w:val="18"/>
        </w:rPr>
      </w:pPr>
    </w:p>
    <w:p w14:paraId="23C0701A" w14:textId="77777777" w:rsidR="00767B70" w:rsidRPr="00767B70" w:rsidRDefault="00767B70" w:rsidP="00767B70">
      <w:pPr>
        <w:rPr>
          <w:rFonts w:ascii="Times New Roman" w:hAnsi="Times New Roman"/>
          <w:color w:val="FF0000"/>
          <w:sz w:val="18"/>
        </w:rPr>
      </w:pPr>
    </w:p>
    <w:p w14:paraId="28994B65" w14:textId="77777777" w:rsidR="00767B70" w:rsidRDefault="00767B70" w:rsidP="00767B70">
      <w:pPr>
        <w:spacing w:after="60"/>
        <w:rPr>
          <w:rFonts w:ascii="Times New Roman" w:hAnsi="Times New Roman"/>
          <w:i/>
        </w:rPr>
      </w:pPr>
    </w:p>
    <w:tbl>
      <w:tblPr>
        <w:tblpPr w:leftFromText="141" w:rightFromText="141" w:horzAnchor="margin" w:tblpY="55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6488"/>
      </w:tblGrid>
      <w:tr w:rsidR="00B100A4" w:rsidRPr="003F40CE" w14:paraId="1E5675F9" w14:textId="77777777" w:rsidTr="0004485E">
        <w:trPr>
          <w:trHeight w:val="594"/>
        </w:trPr>
        <w:tc>
          <w:tcPr>
            <w:tcW w:w="3146" w:type="dxa"/>
            <w:vMerge w:val="restart"/>
            <w:tcBorders>
              <w:top w:val="single" w:sz="4" w:space="0" w:color="auto"/>
              <w:left w:val="single" w:sz="4" w:space="0" w:color="auto"/>
              <w:bottom w:val="single" w:sz="4" w:space="0" w:color="auto"/>
              <w:right w:val="single" w:sz="4" w:space="0" w:color="auto"/>
            </w:tcBorders>
            <w:vAlign w:val="center"/>
            <w:hideMark/>
          </w:tcPr>
          <w:p w14:paraId="6146B791" w14:textId="77777777" w:rsidR="00B100A4" w:rsidRPr="003F40CE" w:rsidRDefault="00B100A4" w:rsidP="0004485E">
            <w:pPr>
              <w:spacing w:after="60"/>
              <w:rPr>
                <w:rFonts w:ascii="Times New Roman" w:hAnsi="Times New Roman"/>
                <w:b/>
                <w:i/>
              </w:rPr>
            </w:pPr>
            <w:r w:rsidRPr="003F40CE">
              <w:rPr>
                <w:rFonts w:ascii="Times New Roman" w:hAnsi="Times New Roman"/>
                <w:b/>
                <w:i/>
              </w:rPr>
              <w:t>Commissione proposta</w:t>
            </w:r>
          </w:p>
          <w:p w14:paraId="70FD2BFC" w14:textId="77777777" w:rsidR="00B100A4" w:rsidRPr="003F40CE" w:rsidRDefault="00B100A4" w:rsidP="0004485E">
            <w:pPr>
              <w:spacing w:after="60"/>
              <w:rPr>
                <w:rFonts w:ascii="Times New Roman" w:hAnsi="Times New Roman"/>
                <w:i/>
              </w:rPr>
            </w:pPr>
            <w:r w:rsidRPr="003F40CE">
              <w:rPr>
                <w:rFonts w:ascii="Times New Roman" w:hAnsi="Times New Roman"/>
                <w:i/>
              </w:rPr>
              <w:t xml:space="preserve">3 commissari + </w:t>
            </w:r>
          </w:p>
          <w:p w14:paraId="3B8D5B7B" w14:textId="77777777" w:rsidR="00B100A4" w:rsidRPr="003F40CE" w:rsidRDefault="00B100A4" w:rsidP="0004485E">
            <w:pPr>
              <w:spacing w:after="60"/>
              <w:rPr>
                <w:rFonts w:ascii="Times New Roman" w:hAnsi="Times New Roman"/>
                <w:i/>
              </w:rPr>
            </w:pPr>
            <w:r w:rsidRPr="003F40CE">
              <w:rPr>
                <w:rFonts w:ascii="Times New Roman" w:hAnsi="Times New Roman"/>
                <w:i/>
              </w:rPr>
              <w:t>1 supplente</w:t>
            </w:r>
          </w:p>
        </w:tc>
        <w:tc>
          <w:tcPr>
            <w:tcW w:w="6488" w:type="dxa"/>
            <w:tcBorders>
              <w:top w:val="single" w:sz="4" w:space="0" w:color="auto"/>
              <w:left w:val="single" w:sz="4" w:space="0" w:color="auto"/>
              <w:bottom w:val="single" w:sz="4" w:space="0" w:color="auto"/>
              <w:right w:val="single" w:sz="4" w:space="0" w:color="auto"/>
            </w:tcBorders>
            <w:vAlign w:val="center"/>
          </w:tcPr>
          <w:p w14:paraId="38FB5E1E" w14:textId="5837BAE5" w:rsidR="00B100A4" w:rsidRPr="00114FD5" w:rsidRDefault="000C05F0" w:rsidP="0004485E">
            <w:pPr>
              <w:spacing w:after="60"/>
              <w:rPr>
                <w:rFonts w:ascii="Times New Roman" w:hAnsi="Times New Roman"/>
                <w:i/>
              </w:rPr>
            </w:pPr>
            <w:r w:rsidRPr="00114FD5">
              <w:rPr>
                <w:rFonts w:ascii="Times New Roman" w:hAnsi="Times New Roman"/>
                <w:i/>
              </w:rPr>
              <w:t>Maria Cristina Morelli</w:t>
            </w:r>
          </w:p>
        </w:tc>
      </w:tr>
      <w:tr w:rsidR="00B100A4" w:rsidRPr="003F40CE" w14:paraId="50C7B591" w14:textId="77777777"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89976" w14:textId="77777777"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14:paraId="5D24330F" w14:textId="3415AD64" w:rsidR="00B100A4" w:rsidRPr="00114FD5" w:rsidRDefault="00114FD5" w:rsidP="00114FD5">
            <w:pPr>
              <w:spacing w:after="60"/>
              <w:rPr>
                <w:rFonts w:ascii="Times New Roman" w:hAnsi="Times New Roman"/>
                <w:i/>
              </w:rPr>
            </w:pPr>
            <w:r w:rsidRPr="00114FD5">
              <w:rPr>
                <w:rFonts w:ascii="Times New Roman" w:hAnsi="Times New Roman"/>
                <w:i/>
              </w:rPr>
              <w:t xml:space="preserve">Mariacristina Guidetti </w:t>
            </w:r>
          </w:p>
        </w:tc>
      </w:tr>
      <w:tr w:rsidR="00B100A4" w:rsidRPr="003F40CE" w14:paraId="1CF426A2" w14:textId="77777777"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D63D4" w14:textId="77777777"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14:paraId="033B81EE" w14:textId="3967B7F4" w:rsidR="00B100A4" w:rsidRPr="00114FD5" w:rsidRDefault="000C05F0" w:rsidP="0004485E">
            <w:pPr>
              <w:spacing w:after="60"/>
              <w:rPr>
                <w:rFonts w:ascii="Times New Roman" w:hAnsi="Times New Roman"/>
                <w:i/>
              </w:rPr>
            </w:pPr>
            <w:proofErr w:type="spellStart"/>
            <w:r w:rsidRPr="00114FD5">
              <w:rPr>
                <w:rFonts w:ascii="Times New Roman" w:hAnsi="Times New Roman"/>
                <w:i/>
              </w:rPr>
              <w:t>Gianandrea</w:t>
            </w:r>
            <w:proofErr w:type="spellEnd"/>
            <w:r w:rsidRPr="00114FD5">
              <w:rPr>
                <w:rFonts w:ascii="Times New Roman" w:hAnsi="Times New Roman"/>
                <w:i/>
              </w:rPr>
              <w:t xml:space="preserve"> Pasquinelli</w:t>
            </w:r>
          </w:p>
        </w:tc>
      </w:tr>
      <w:tr w:rsidR="00B100A4" w:rsidRPr="003F40CE" w14:paraId="0E7773A3" w14:textId="77777777"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ADDE8" w14:textId="77777777"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14:paraId="4DA001F2" w14:textId="272F09F3" w:rsidR="00B100A4" w:rsidRPr="00114FD5" w:rsidRDefault="00114FD5" w:rsidP="0004485E">
            <w:pPr>
              <w:spacing w:after="60"/>
              <w:rPr>
                <w:rFonts w:ascii="Times New Roman" w:hAnsi="Times New Roman"/>
                <w:i/>
              </w:rPr>
            </w:pPr>
            <w:r w:rsidRPr="00114FD5">
              <w:rPr>
                <w:rFonts w:ascii="Times New Roman" w:hAnsi="Times New Roman"/>
                <w:i/>
              </w:rPr>
              <w:t>Lucia Brodosi</w:t>
            </w:r>
          </w:p>
        </w:tc>
      </w:tr>
    </w:tbl>
    <w:p w14:paraId="0361FD80" w14:textId="77777777" w:rsidR="00B100A4" w:rsidRPr="00767B70" w:rsidRDefault="00B100A4" w:rsidP="00767B70">
      <w:pPr>
        <w:spacing w:after="60"/>
        <w:rPr>
          <w:rFonts w:ascii="Times New Roman" w:hAnsi="Times New Roman"/>
          <w:i/>
        </w:rPr>
      </w:pPr>
    </w:p>
    <w:p w14:paraId="63CAFB84" w14:textId="77777777" w:rsidR="00C81FE9" w:rsidRDefault="00C81FE9" w:rsidP="00767B70">
      <w:pPr>
        <w:spacing w:after="60"/>
        <w:rPr>
          <w:rFonts w:ascii="Times New Roman" w:hAnsi="Times New Roman"/>
          <w:i/>
        </w:rPr>
      </w:pPr>
    </w:p>
    <w:p w14:paraId="4A267B92" w14:textId="77777777" w:rsidR="00C81FE9" w:rsidRDefault="00C81FE9" w:rsidP="00767B70">
      <w:pPr>
        <w:spacing w:after="60"/>
        <w:rPr>
          <w:rFonts w:ascii="Times New Roman" w:hAnsi="Times New Roman"/>
          <w:i/>
        </w:rPr>
      </w:pPr>
    </w:p>
    <w:p w14:paraId="055F238D" w14:textId="77777777" w:rsidR="00C81FE9" w:rsidRDefault="00C81FE9" w:rsidP="00767B70">
      <w:pPr>
        <w:spacing w:after="60"/>
        <w:rPr>
          <w:rFonts w:ascii="Times New Roman" w:hAnsi="Times New Roman"/>
          <w:i/>
        </w:rPr>
      </w:pPr>
    </w:p>
    <w:p w14:paraId="7E53AC63" w14:textId="415F702C" w:rsidR="00767B70" w:rsidRPr="00767B70" w:rsidRDefault="00767B70" w:rsidP="00767B70">
      <w:pPr>
        <w:spacing w:after="60"/>
        <w:rPr>
          <w:rFonts w:ascii="Times New Roman" w:hAnsi="Times New Roman"/>
          <w:i/>
        </w:rPr>
      </w:pPr>
      <w:r w:rsidRPr="00F95720">
        <w:rPr>
          <w:rFonts w:ascii="Times New Roman" w:hAnsi="Times New Roman"/>
          <w:b/>
          <w:bCs/>
          <w:i/>
        </w:rPr>
        <w:t>Scheda attività assistenziale</w:t>
      </w:r>
      <w:r w:rsidRPr="00F95720">
        <w:rPr>
          <w:rFonts w:ascii="Times New Roman" w:hAnsi="Times New Roman"/>
          <w:i/>
        </w:rPr>
        <w:t xml:space="preserve"> (</w:t>
      </w:r>
      <w:r w:rsidRPr="00767B70">
        <w:rPr>
          <w:rFonts w:ascii="Times New Roman" w:hAnsi="Times New Roman"/>
          <w:i/>
        </w:rPr>
        <w:t>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7B70" w:rsidRPr="00767B70" w14:paraId="600988B6" w14:textId="77777777" w:rsidTr="00C758AC">
        <w:tc>
          <w:tcPr>
            <w:tcW w:w="9889" w:type="dxa"/>
            <w:tcBorders>
              <w:top w:val="single" w:sz="4" w:space="0" w:color="auto"/>
              <w:left w:val="single" w:sz="4" w:space="0" w:color="auto"/>
              <w:bottom w:val="single" w:sz="4" w:space="0" w:color="auto"/>
              <w:right w:val="single" w:sz="4" w:space="0" w:color="auto"/>
            </w:tcBorders>
            <w:hideMark/>
          </w:tcPr>
          <w:p w14:paraId="6B0954DD" w14:textId="562C4F14" w:rsidR="00767B70" w:rsidRPr="00767B70" w:rsidRDefault="00767B70" w:rsidP="00C758AC">
            <w:pPr>
              <w:spacing w:before="60" w:after="60"/>
              <w:rPr>
                <w:rFonts w:ascii="Times New Roman" w:hAnsi="Times New Roman"/>
                <w:b/>
                <w:color w:val="FF0000"/>
              </w:rPr>
            </w:pPr>
            <w:r w:rsidRPr="00F95720">
              <w:rPr>
                <w:rFonts w:ascii="Times New Roman" w:hAnsi="Times New Roman"/>
                <w:b/>
              </w:rPr>
              <w:t>ATTIVITÀ ASSISTENZIALI DEL BORSISTA DI RICERCA/N. ORE SETTIMANA (</w:t>
            </w:r>
            <w:proofErr w:type="spellStart"/>
            <w:r w:rsidRPr="00F95720">
              <w:rPr>
                <w:rFonts w:ascii="Times New Roman" w:hAnsi="Times New Roman"/>
                <w:b/>
              </w:rPr>
              <w:t>max</w:t>
            </w:r>
            <w:proofErr w:type="spellEnd"/>
            <w:r w:rsidRPr="00F95720">
              <w:rPr>
                <w:rFonts w:ascii="Times New Roman" w:hAnsi="Times New Roman"/>
                <w:b/>
              </w:rPr>
              <w:t xml:space="preserve"> 18 ore settimanali)</w:t>
            </w:r>
          </w:p>
        </w:tc>
      </w:tr>
      <w:tr w:rsidR="00767B70" w:rsidRPr="00767B70" w14:paraId="5802FF80" w14:textId="77777777" w:rsidTr="00C758AC">
        <w:tc>
          <w:tcPr>
            <w:tcW w:w="9889" w:type="dxa"/>
            <w:tcBorders>
              <w:top w:val="single" w:sz="4" w:space="0" w:color="auto"/>
              <w:left w:val="single" w:sz="4" w:space="0" w:color="auto"/>
              <w:bottom w:val="single" w:sz="4" w:space="0" w:color="auto"/>
              <w:right w:val="single" w:sz="4" w:space="0" w:color="auto"/>
            </w:tcBorders>
          </w:tcPr>
          <w:p w14:paraId="68CE93A5" w14:textId="643A5B5D" w:rsidR="00767B70" w:rsidRPr="00767B70" w:rsidRDefault="000C05F0" w:rsidP="00C758AC">
            <w:pPr>
              <w:pStyle w:val="NormaleWeb"/>
              <w:spacing w:before="0" w:beforeAutospacing="0" w:after="120" w:afterAutospacing="0"/>
              <w:jc w:val="both"/>
              <w:rPr>
                <w:color w:val="FF0000"/>
                <w:sz w:val="21"/>
                <w:szCs w:val="21"/>
              </w:rPr>
            </w:pPr>
            <w:bookmarkStart w:id="0" w:name="_GoBack"/>
            <w:bookmarkEnd w:id="0"/>
            <w:r w:rsidRPr="00046577">
              <w:rPr>
                <w:sz w:val="21"/>
                <w:szCs w:val="21"/>
              </w:rPr>
              <w:t xml:space="preserve">SI </w:t>
            </w:r>
          </w:p>
        </w:tc>
      </w:tr>
      <w:tr w:rsidR="00767B70" w:rsidRPr="00767B70" w14:paraId="49DD2B04" w14:textId="77777777" w:rsidTr="00C758AC">
        <w:tc>
          <w:tcPr>
            <w:tcW w:w="9889" w:type="dxa"/>
            <w:tcBorders>
              <w:top w:val="single" w:sz="4" w:space="0" w:color="auto"/>
              <w:left w:val="single" w:sz="4" w:space="0" w:color="auto"/>
              <w:bottom w:val="single" w:sz="4" w:space="0" w:color="auto"/>
              <w:right w:val="single" w:sz="4" w:space="0" w:color="auto"/>
            </w:tcBorders>
          </w:tcPr>
          <w:p w14:paraId="0610B42F" w14:textId="77777777" w:rsidR="00767B70" w:rsidRPr="00767B70" w:rsidRDefault="00767B70" w:rsidP="00C758AC">
            <w:pPr>
              <w:pStyle w:val="NormaleWeb"/>
              <w:spacing w:before="0" w:beforeAutospacing="0" w:after="120" w:afterAutospacing="0"/>
              <w:jc w:val="both"/>
              <w:rPr>
                <w:color w:val="FF0000"/>
                <w:sz w:val="21"/>
                <w:szCs w:val="21"/>
              </w:rPr>
            </w:pPr>
          </w:p>
        </w:tc>
      </w:tr>
      <w:tr w:rsidR="00767B70" w:rsidRPr="00767B70" w14:paraId="4C3E843A" w14:textId="77777777" w:rsidTr="00C758AC">
        <w:tc>
          <w:tcPr>
            <w:tcW w:w="9889" w:type="dxa"/>
            <w:tcBorders>
              <w:top w:val="single" w:sz="4" w:space="0" w:color="auto"/>
              <w:left w:val="single" w:sz="4" w:space="0" w:color="auto"/>
              <w:bottom w:val="single" w:sz="4" w:space="0" w:color="auto"/>
              <w:right w:val="single" w:sz="4" w:space="0" w:color="auto"/>
            </w:tcBorders>
          </w:tcPr>
          <w:p w14:paraId="44C81E48" w14:textId="77777777" w:rsidR="00767B70" w:rsidRPr="00767B70" w:rsidRDefault="00767B70" w:rsidP="00C758AC">
            <w:pPr>
              <w:pStyle w:val="NormaleWeb"/>
              <w:spacing w:before="0" w:beforeAutospacing="0" w:after="120" w:afterAutospacing="0"/>
              <w:jc w:val="both"/>
              <w:rPr>
                <w:color w:val="FF0000"/>
                <w:sz w:val="21"/>
                <w:szCs w:val="21"/>
              </w:rPr>
            </w:pPr>
          </w:p>
        </w:tc>
      </w:tr>
      <w:tr w:rsidR="00767B70" w:rsidRPr="00767B70" w14:paraId="23E34F82" w14:textId="77777777" w:rsidTr="00C758AC">
        <w:tc>
          <w:tcPr>
            <w:tcW w:w="9889" w:type="dxa"/>
            <w:tcBorders>
              <w:top w:val="single" w:sz="4" w:space="0" w:color="auto"/>
              <w:left w:val="single" w:sz="4" w:space="0" w:color="auto"/>
              <w:bottom w:val="single" w:sz="4" w:space="0" w:color="auto"/>
              <w:right w:val="single" w:sz="4" w:space="0" w:color="auto"/>
            </w:tcBorders>
            <w:hideMark/>
          </w:tcPr>
          <w:p w14:paraId="15637745" w14:textId="77777777" w:rsidR="00767B70" w:rsidRPr="00F95720" w:rsidRDefault="00767B70" w:rsidP="00C758AC">
            <w:pPr>
              <w:pStyle w:val="NormaleWeb"/>
              <w:spacing w:before="0" w:beforeAutospacing="0" w:after="120" w:afterAutospacing="0"/>
              <w:jc w:val="both"/>
              <w:rPr>
                <w:b/>
                <w:bCs/>
                <w:sz w:val="21"/>
                <w:szCs w:val="21"/>
              </w:rPr>
            </w:pPr>
            <w:r w:rsidRPr="00F95720">
              <w:rPr>
                <w:b/>
                <w:bCs/>
              </w:rPr>
              <w:t>AZIENDA SANITARIA PRESSO CUI SI SVOLGERÀ L’ATTIVITÀ</w:t>
            </w:r>
          </w:p>
        </w:tc>
      </w:tr>
      <w:tr w:rsidR="00767B70" w:rsidRPr="00767B70" w14:paraId="31E7C978" w14:textId="77777777" w:rsidTr="00F95720">
        <w:trPr>
          <w:trHeight w:val="843"/>
        </w:trPr>
        <w:tc>
          <w:tcPr>
            <w:tcW w:w="9889" w:type="dxa"/>
            <w:tcBorders>
              <w:top w:val="single" w:sz="4" w:space="0" w:color="auto"/>
              <w:left w:val="single" w:sz="4" w:space="0" w:color="auto"/>
              <w:bottom w:val="single" w:sz="4" w:space="0" w:color="auto"/>
              <w:right w:val="single" w:sz="4" w:space="0" w:color="auto"/>
            </w:tcBorders>
          </w:tcPr>
          <w:p w14:paraId="626E05F7" w14:textId="1BDA26BC" w:rsidR="00767B70" w:rsidRPr="000C05F0" w:rsidRDefault="000C05F0" w:rsidP="00C758AC">
            <w:pPr>
              <w:pStyle w:val="NormaleWeb"/>
              <w:spacing w:before="0" w:beforeAutospacing="0" w:after="120" w:afterAutospacing="0"/>
              <w:jc w:val="both"/>
              <w:rPr>
                <w:sz w:val="21"/>
                <w:szCs w:val="21"/>
                <w:highlight w:val="yellow"/>
              </w:rPr>
            </w:pPr>
            <w:r w:rsidRPr="00114FD5">
              <w:rPr>
                <w:rFonts w:asciiTheme="minorHAnsi" w:hAnsiTheme="minorHAnsi"/>
              </w:rPr>
              <w:t>IRCCS S. Orsola presso SSD Nutrizione Clinica e Metabolismo</w:t>
            </w:r>
            <w:r w:rsidR="00FE45E2" w:rsidRPr="00114FD5">
              <w:rPr>
                <w:rFonts w:asciiTheme="minorHAnsi" w:hAnsiTheme="minorHAnsi"/>
              </w:rPr>
              <w:t xml:space="preserve">-Centro di riferimento per insufficienza intestinale cronica benigna-Morelli </w:t>
            </w:r>
            <w:proofErr w:type="spellStart"/>
            <w:r w:rsidR="00FE45E2" w:rsidRPr="00114FD5">
              <w:rPr>
                <w:rFonts w:asciiTheme="minorHAnsi" w:hAnsiTheme="minorHAnsi"/>
              </w:rPr>
              <w:t>ff</w:t>
            </w:r>
            <w:proofErr w:type="spellEnd"/>
          </w:p>
        </w:tc>
      </w:tr>
    </w:tbl>
    <w:p w14:paraId="4E4AE641" w14:textId="77777777" w:rsidR="00767B70" w:rsidRPr="00767B70" w:rsidRDefault="00767B70" w:rsidP="00767B70">
      <w:pPr>
        <w:rPr>
          <w:rFonts w:ascii="Times New Roman" w:hAnsi="Times New Roman"/>
        </w:rPr>
      </w:pPr>
    </w:p>
    <w:p w14:paraId="5F84FCAE" w14:textId="1921A4AE" w:rsidR="00664352" w:rsidRPr="00767B70" w:rsidRDefault="00664352" w:rsidP="006D10DC">
      <w:pPr>
        <w:rPr>
          <w:rFonts w:ascii="Times New Roman" w:hAnsi="Times New Roman"/>
        </w:rPr>
      </w:pPr>
    </w:p>
    <w:sectPr w:rsidR="00664352" w:rsidRPr="00767B70" w:rsidSect="00DE4DA3">
      <w:headerReference w:type="default" r:id="rId11"/>
      <w:footerReference w:type="default" r:id="rId12"/>
      <w:pgSz w:w="11906" w:h="16838"/>
      <w:pgMar w:top="340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0D52" w14:textId="77777777" w:rsidR="00591686" w:rsidRDefault="00591686">
      <w:r>
        <w:separator/>
      </w:r>
    </w:p>
  </w:endnote>
  <w:endnote w:type="continuationSeparator" w:id="0">
    <w:p w14:paraId="4970BE08" w14:textId="77777777" w:rsidR="00591686" w:rsidRDefault="005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BA12" w14:textId="77777777" w:rsidR="00030D63" w:rsidRPr="00030D63" w:rsidRDefault="00030D63" w:rsidP="00030D63">
    <w:pPr>
      <w:pStyle w:val="Pidipagina"/>
      <w:tabs>
        <w:tab w:val="clear" w:pos="9638"/>
        <w:tab w:val="right" w:pos="10065"/>
      </w:tabs>
      <w:ind w:right="-285"/>
      <w:rPr>
        <w:rFonts w:ascii="Calibri" w:hAnsi="Calibri" w:cs="Calibri"/>
        <w:bCs/>
        <w:iCs/>
        <w:caps/>
        <w:sz w:val="16"/>
        <w:szCs w:val="16"/>
      </w:rPr>
    </w:pPr>
  </w:p>
  <w:p w14:paraId="43FB27FB" w14:textId="2609ECC3" w:rsidR="00030D63" w:rsidRPr="00030D63" w:rsidRDefault="00030D63" w:rsidP="00030D63">
    <w:pPr>
      <w:pStyle w:val="Pidipagina"/>
      <w:tabs>
        <w:tab w:val="clear" w:pos="9638"/>
        <w:tab w:val="right" w:pos="10065"/>
      </w:tabs>
      <w:ind w:right="-285"/>
      <w:rPr>
        <w:rFonts w:ascii="Calibri" w:hAnsi="Calibri" w:cs="Calibri"/>
        <w:b/>
        <w:iCs/>
        <w:caps/>
        <w:sz w:val="20"/>
        <w:szCs w:val="20"/>
      </w:rPr>
    </w:pPr>
    <w:r>
      <w:rPr>
        <w:rFonts w:ascii="Calibri" w:hAnsi="Calibri" w:cs="Calibri"/>
        <w:b/>
        <w:iCs/>
        <w:caps/>
        <w:sz w:val="20"/>
        <w:szCs w:val="20"/>
      </w:rPr>
      <w:t>S</w:t>
    </w:r>
    <w:r w:rsidRPr="00030D63">
      <w:rPr>
        <w:rFonts w:ascii="Calibri" w:hAnsi="Calibri" w:cs="Calibri"/>
        <w:b/>
        <w:iCs/>
        <w:caps/>
        <w:sz w:val="20"/>
        <w:szCs w:val="20"/>
      </w:rPr>
      <w:t>ETTORE personale</w:t>
    </w:r>
  </w:p>
  <w:p w14:paraId="1539B342" w14:textId="77777777" w:rsidR="00030D63" w:rsidRPr="00030D63" w:rsidRDefault="00030D63" w:rsidP="00030D63">
    <w:pPr>
      <w:pStyle w:val="Pidipagina"/>
      <w:tabs>
        <w:tab w:val="clear" w:pos="9638"/>
        <w:tab w:val="right" w:pos="10065"/>
      </w:tabs>
      <w:ind w:right="-285"/>
      <w:rPr>
        <w:rFonts w:ascii="Calibri" w:hAnsi="Calibri" w:cs="Calibri"/>
        <w:b/>
        <w:iCs/>
        <w:caps/>
        <w:sz w:val="20"/>
        <w:szCs w:val="20"/>
      </w:rPr>
    </w:pPr>
    <w:r w:rsidRPr="00030D63">
      <w:rPr>
        <w:rFonts w:ascii="Calibri" w:hAnsi="Calibri" w:cs="Calibri"/>
        <w:b/>
        <w:iCs/>
        <w:caps/>
        <w:sz w:val="20"/>
        <w:szCs w:val="20"/>
      </w:rPr>
      <w:t>UFFICIO PERSONALE NON STRUTTURATO</w:t>
    </w:r>
  </w:p>
  <w:p w14:paraId="619EB41B" w14:textId="77777777" w:rsidR="00030D63" w:rsidRPr="00030D63" w:rsidRDefault="00030D63" w:rsidP="00030D63">
    <w:pPr>
      <w:pStyle w:val="Pidipagina"/>
      <w:tabs>
        <w:tab w:val="clear" w:pos="9638"/>
        <w:tab w:val="right" w:pos="10065"/>
      </w:tabs>
      <w:ind w:right="-285"/>
      <w:rPr>
        <w:rFonts w:ascii="Calibri" w:hAnsi="Calibri" w:cs="Calibri"/>
        <w:sz w:val="20"/>
        <w:szCs w:val="20"/>
      </w:rPr>
    </w:pPr>
    <w:r w:rsidRPr="00030D63">
      <w:rPr>
        <w:rFonts w:ascii="Calibri" w:hAnsi="Calibri" w:cs="Calibri"/>
        <w:sz w:val="20"/>
        <w:szCs w:val="20"/>
      </w:rPr>
      <w:t xml:space="preserve">c/o Policlinico di Sant’Orsola, via Massarenti 9 – Pad. </w:t>
    </w:r>
    <w:proofErr w:type="gramStart"/>
    <w:r w:rsidRPr="00030D63">
      <w:rPr>
        <w:rFonts w:ascii="Calibri" w:hAnsi="Calibri" w:cs="Calibri"/>
        <w:sz w:val="20"/>
        <w:szCs w:val="20"/>
      </w:rPr>
      <w:t>11  |</w:t>
    </w:r>
    <w:proofErr w:type="gramEnd"/>
    <w:r w:rsidRPr="00030D63">
      <w:rPr>
        <w:rFonts w:ascii="Calibri" w:hAnsi="Calibri" w:cs="Calibri"/>
        <w:sz w:val="20"/>
        <w:szCs w:val="20"/>
      </w:rPr>
      <w:t xml:space="preserve">  40138 Bologna |  Italia</w:t>
    </w:r>
  </w:p>
  <w:p w14:paraId="65E5DC1F" w14:textId="0FD9096C" w:rsidR="00A21287" w:rsidRPr="00030D63" w:rsidRDefault="00030D63" w:rsidP="00030D63">
    <w:pPr>
      <w:pStyle w:val="Pidipagina"/>
      <w:tabs>
        <w:tab w:val="right" w:pos="10065"/>
      </w:tabs>
      <w:ind w:right="-285"/>
      <w:rPr>
        <w:rFonts w:ascii="Calibri" w:hAnsi="Calibri" w:cs="Calibri"/>
        <w:sz w:val="20"/>
        <w:szCs w:val="20"/>
      </w:rPr>
    </w:pPr>
    <w:r w:rsidRPr="00030D63">
      <w:rPr>
        <w:rFonts w:ascii="Calibri" w:hAnsi="Calibri" w:cs="Calibri"/>
        <w:sz w:val="20"/>
        <w:szCs w:val="20"/>
      </w:rPr>
      <w:t xml:space="preserve">Responsabile del procedimento: Luisa Romagnoli  | </w:t>
    </w:r>
    <w:hyperlink r:id="rId1" w:history="1">
      <w:r w:rsidR="000A6B1A" w:rsidRPr="00E738E0">
        <w:rPr>
          <w:rStyle w:val="Collegamentoipertestuale"/>
          <w:rFonts w:ascii="Calibri" w:hAnsi="Calibri" w:cs="Calibri"/>
          <w:sz w:val="20"/>
          <w:szCs w:val="20"/>
        </w:rPr>
        <w:t>sam.nonstrutturati@unibo.it</w:t>
      </w:r>
    </w:hyperlink>
    <w:r w:rsidR="000A6B1A">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EDF0B" w14:textId="77777777" w:rsidR="00591686" w:rsidRDefault="00591686">
      <w:r>
        <w:separator/>
      </w:r>
    </w:p>
  </w:footnote>
  <w:footnote w:type="continuationSeparator" w:id="0">
    <w:p w14:paraId="6BBF10FF" w14:textId="77777777" w:rsidR="00591686" w:rsidRDefault="0059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64E6AB29">
          <wp:extent cx="3087377" cy="1252800"/>
          <wp:effectExtent l="0" t="0" r="0"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087377"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54"/>
    <w:multiLevelType w:val="hybridMultilevel"/>
    <w:tmpl w:val="E69C9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B311E"/>
    <w:multiLevelType w:val="hybridMultilevel"/>
    <w:tmpl w:val="312A7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15A5F"/>
    <w:multiLevelType w:val="hybridMultilevel"/>
    <w:tmpl w:val="C14E5AA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9000AC"/>
    <w:multiLevelType w:val="hybridMultilevel"/>
    <w:tmpl w:val="A538F9F0"/>
    <w:lvl w:ilvl="0" w:tplc="EEEC7DD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C662EB"/>
    <w:multiLevelType w:val="hybridMultilevel"/>
    <w:tmpl w:val="B1AA6BF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147F4"/>
    <w:multiLevelType w:val="hybridMultilevel"/>
    <w:tmpl w:val="309E8268"/>
    <w:lvl w:ilvl="0" w:tplc="100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C33CE2"/>
    <w:multiLevelType w:val="hybridMultilevel"/>
    <w:tmpl w:val="C2F47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B7F025F"/>
    <w:multiLevelType w:val="hybridMultilevel"/>
    <w:tmpl w:val="38C2B1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8"/>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A"/>
    <w:rsid w:val="0000079D"/>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0D63"/>
    <w:rsid w:val="0003171A"/>
    <w:rsid w:val="00032B63"/>
    <w:rsid w:val="00032BFB"/>
    <w:rsid w:val="00033855"/>
    <w:rsid w:val="0003386D"/>
    <w:rsid w:val="00033D80"/>
    <w:rsid w:val="00034182"/>
    <w:rsid w:val="00034FE5"/>
    <w:rsid w:val="00035B35"/>
    <w:rsid w:val="00036091"/>
    <w:rsid w:val="0003660C"/>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577"/>
    <w:rsid w:val="00046972"/>
    <w:rsid w:val="00046F94"/>
    <w:rsid w:val="00047AA0"/>
    <w:rsid w:val="000515DC"/>
    <w:rsid w:val="00051941"/>
    <w:rsid w:val="0005379F"/>
    <w:rsid w:val="0005496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693A"/>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B1A"/>
    <w:rsid w:val="000A6E0B"/>
    <w:rsid w:val="000A757C"/>
    <w:rsid w:val="000A7705"/>
    <w:rsid w:val="000B1643"/>
    <w:rsid w:val="000B1D79"/>
    <w:rsid w:val="000B1FBE"/>
    <w:rsid w:val="000B250F"/>
    <w:rsid w:val="000B2590"/>
    <w:rsid w:val="000B3E8C"/>
    <w:rsid w:val="000B486F"/>
    <w:rsid w:val="000B5B50"/>
    <w:rsid w:val="000B6A22"/>
    <w:rsid w:val="000B6C3D"/>
    <w:rsid w:val="000B787C"/>
    <w:rsid w:val="000B78C3"/>
    <w:rsid w:val="000B7C12"/>
    <w:rsid w:val="000C016A"/>
    <w:rsid w:val="000C02EF"/>
    <w:rsid w:val="000C0392"/>
    <w:rsid w:val="000C03B2"/>
    <w:rsid w:val="000C05F0"/>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4FD5"/>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28DF"/>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D61"/>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0DD3"/>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0CA4"/>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0854"/>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5F63"/>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0CE"/>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1FF"/>
    <w:rsid w:val="004C358D"/>
    <w:rsid w:val="004C3805"/>
    <w:rsid w:val="004C3F01"/>
    <w:rsid w:val="004C4B61"/>
    <w:rsid w:val="004C4E9E"/>
    <w:rsid w:val="004C55F8"/>
    <w:rsid w:val="004C5729"/>
    <w:rsid w:val="004C5860"/>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45C"/>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2C78"/>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81C"/>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1686"/>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431"/>
    <w:rsid w:val="005B06E9"/>
    <w:rsid w:val="005B1780"/>
    <w:rsid w:val="005B1A2C"/>
    <w:rsid w:val="005B1B7F"/>
    <w:rsid w:val="005B22E9"/>
    <w:rsid w:val="005B26C8"/>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529B"/>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10DC"/>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5E6C"/>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5C7"/>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2EA4"/>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B70"/>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689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199"/>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5C90"/>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2A28"/>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223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758"/>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C78F8"/>
    <w:rsid w:val="009D2230"/>
    <w:rsid w:val="009D2283"/>
    <w:rsid w:val="009D25A7"/>
    <w:rsid w:val="009D3394"/>
    <w:rsid w:val="009D38CC"/>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0A4"/>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4BC"/>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0CC8"/>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9C7"/>
    <w:rsid w:val="00BC0B60"/>
    <w:rsid w:val="00BC0E72"/>
    <w:rsid w:val="00BC19DE"/>
    <w:rsid w:val="00BC2E7F"/>
    <w:rsid w:val="00BC405F"/>
    <w:rsid w:val="00BC53C2"/>
    <w:rsid w:val="00BC5B25"/>
    <w:rsid w:val="00BC5DDD"/>
    <w:rsid w:val="00BC6618"/>
    <w:rsid w:val="00BC6F58"/>
    <w:rsid w:val="00BD1AF0"/>
    <w:rsid w:val="00BD1C72"/>
    <w:rsid w:val="00BD2651"/>
    <w:rsid w:val="00BD29AD"/>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5AE"/>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5E2"/>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1FE9"/>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4E4"/>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314A"/>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4DA3"/>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04E"/>
    <w:rsid w:val="00E171EF"/>
    <w:rsid w:val="00E17710"/>
    <w:rsid w:val="00E1771E"/>
    <w:rsid w:val="00E2028B"/>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1DF4"/>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649"/>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322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20"/>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081F"/>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5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5AE"/>
    <w:pPr>
      <w:jc w:val="both"/>
    </w:pPr>
    <w:rPr>
      <w:rFonts w:asciiTheme="minorHAnsi" w:hAnsiTheme="minorHAnsi"/>
      <w:sz w:val="24"/>
      <w:szCs w:val="24"/>
    </w:rPr>
  </w:style>
  <w:style w:type="paragraph" w:styleId="Titolo1">
    <w:name w:val="heading 1"/>
    <w:basedOn w:val="Normale"/>
    <w:next w:val="Normale"/>
    <w:link w:val="Titolo1Carattere"/>
    <w:qFormat/>
    <w:rsid w:val="00E1704E"/>
    <w:pPr>
      <w:keepNext/>
      <w:jc w:val="center"/>
      <w:outlineLvl w:val="0"/>
    </w:pPr>
    <w:rPr>
      <w:rFonts w:ascii="Times New Roman" w:hAnsi="Times New Roman"/>
      <w:szCs w:val="20"/>
      <w:u w:val="single"/>
    </w:rPr>
  </w:style>
  <w:style w:type="paragraph" w:styleId="Titolo2">
    <w:name w:val="heading 2"/>
    <w:basedOn w:val="Normale"/>
    <w:next w:val="Normale"/>
    <w:link w:val="Titolo2Carattere"/>
    <w:qFormat/>
    <w:rsid w:val="00E1704E"/>
    <w:pPr>
      <w:keepNext/>
      <w:outlineLvl w:val="1"/>
    </w:pPr>
    <w:rPr>
      <w:rFonts w:ascii="Times New Roman" w:hAnsi="Times New Roman"/>
      <w:szCs w:val="20"/>
    </w:rPr>
  </w:style>
  <w:style w:type="paragraph" w:styleId="Titolo3">
    <w:name w:val="heading 3"/>
    <w:basedOn w:val="Normale"/>
    <w:next w:val="Normale"/>
    <w:link w:val="Titolo3Carattere"/>
    <w:qFormat/>
    <w:rsid w:val="00E1704E"/>
    <w:pPr>
      <w:keepNext/>
      <w:jc w:val="left"/>
      <w:outlineLvl w:val="2"/>
    </w:pPr>
    <w:rPr>
      <w:rFonts w:ascii="Times New Roman" w:hAnsi="Times New Roman"/>
      <w:szCs w:val="20"/>
    </w:rPr>
  </w:style>
  <w:style w:type="paragraph" w:styleId="Titolo4">
    <w:name w:val="heading 4"/>
    <w:basedOn w:val="Normale"/>
    <w:next w:val="Normale"/>
    <w:link w:val="Titolo4Carattere"/>
    <w:semiHidden/>
    <w:unhideWhenUsed/>
    <w:qFormat/>
    <w:rsid w:val="00DA31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Testonotadichiusura">
    <w:name w:val="endnote text"/>
    <w:basedOn w:val="Normale"/>
    <w:link w:val="TestonotadichiusuraCarattere"/>
    <w:rsid w:val="00DE4DA3"/>
    <w:rPr>
      <w:sz w:val="20"/>
      <w:szCs w:val="20"/>
    </w:rPr>
  </w:style>
  <w:style w:type="character" w:customStyle="1" w:styleId="TestonotadichiusuraCarattere">
    <w:name w:val="Testo nota di chiusura Carattere"/>
    <w:basedOn w:val="Carpredefinitoparagrafo"/>
    <w:link w:val="Testonotadichiusura"/>
    <w:rsid w:val="00DE4DA3"/>
  </w:style>
  <w:style w:type="character" w:styleId="Rimandonotadichiusura">
    <w:name w:val="endnote reference"/>
    <w:basedOn w:val="Carpredefinitoparagrafo"/>
    <w:rsid w:val="00DE4DA3"/>
    <w:rPr>
      <w:vertAlign w:val="superscript"/>
    </w:rPr>
  </w:style>
  <w:style w:type="character" w:customStyle="1" w:styleId="Menzionenonrisolta1">
    <w:name w:val="Menzione non risolta1"/>
    <w:basedOn w:val="Carpredefinitoparagrafo"/>
    <w:uiPriority w:val="99"/>
    <w:semiHidden/>
    <w:unhideWhenUsed/>
    <w:rsid w:val="000A6B1A"/>
    <w:rPr>
      <w:color w:val="605E5C"/>
      <w:shd w:val="clear" w:color="auto" w:fill="E1DFDD"/>
    </w:rPr>
  </w:style>
  <w:style w:type="character" w:customStyle="1" w:styleId="Titolo1Carattere">
    <w:name w:val="Titolo 1 Carattere"/>
    <w:basedOn w:val="Carpredefinitoparagrafo"/>
    <w:link w:val="Titolo1"/>
    <w:rsid w:val="00E1704E"/>
    <w:rPr>
      <w:sz w:val="24"/>
      <w:u w:val="single"/>
    </w:rPr>
  </w:style>
  <w:style w:type="character" w:customStyle="1" w:styleId="Titolo2Carattere">
    <w:name w:val="Titolo 2 Carattere"/>
    <w:basedOn w:val="Carpredefinitoparagrafo"/>
    <w:link w:val="Titolo2"/>
    <w:rsid w:val="00E1704E"/>
    <w:rPr>
      <w:sz w:val="24"/>
    </w:rPr>
  </w:style>
  <w:style w:type="character" w:customStyle="1" w:styleId="Titolo3Carattere">
    <w:name w:val="Titolo 3 Carattere"/>
    <w:basedOn w:val="Carpredefinitoparagrafo"/>
    <w:link w:val="Titolo3"/>
    <w:rsid w:val="00E1704E"/>
    <w:rPr>
      <w:sz w:val="24"/>
    </w:rPr>
  </w:style>
  <w:style w:type="paragraph" w:styleId="NormaleWeb">
    <w:name w:val="Normal (Web)"/>
    <w:basedOn w:val="Normale"/>
    <w:uiPriority w:val="99"/>
    <w:unhideWhenUsed/>
    <w:rsid w:val="00767B70"/>
    <w:pPr>
      <w:spacing w:before="100" w:beforeAutospacing="1" w:after="100" w:afterAutospacing="1"/>
      <w:jc w:val="left"/>
    </w:pPr>
    <w:rPr>
      <w:rFonts w:ascii="Times New Roman" w:hAnsi="Times New Roman"/>
    </w:rPr>
  </w:style>
  <w:style w:type="character" w:customStyle="1" w:styleId="Titolo4Carattere">
    <w:name w:val="Titolo 4 Carattere"/>
    <w:basedOn w:val="Carpredefinitoparagrafo"/>
    <w:link w:val="Titolo4"/>
    <w:semiHidden/>
    <w:rsid w:val="00DA314A"/>
    <w:rPr>
      <w:rFonts w:asciiTheme="majorHAnsi" w:eastAsiaTheme="majorEastAsia" w:hAnsiTheme="majorHAnsi" w:cstheme="majorBidi"/>
      <w:i/>
      <w:iCs/>
      <w:color w:val="2E74B5" w:themeColor="accent1" w:themeShade="BF"/>
      <w:sz w:val="24"/>
      <w:szCs w:val="24"/>
    </w:rPr>
  </w:style>
  <w:style w:type="paragraph" w:styleId="Paragrafoelenco">
    <w:name w:val="List Paragraph"/>
    <w:basedOn w:val="Normale"/>
    <w:link w:val="ParagrafoelencoCarattere"/>
    <w:uiPriority w:val="34"/>
    <w:qFormat/>
    <w:rsid w:val="00DA314A"/>
    <w:pPr>
      <w:spacing w:after="60"/>
      <w:ind w:left="720"/>
      <w:contextualSpacing/>
      <w:jc w:val="left"/>
    </w:pPr>
    <w:rPr>
      <w:rFonts w:ascii="Arial" w:hAnsi="Arial"/>
      <w:lang w:eastAsia="en-GB"/>
    </w:rPr>
  </w:style>
  <w:style w:type="character" w:customStyle="1" w:styleId="ParagrafoelencoCarattere">
    <w:name w:val="Paragrafo elenco Carattere"/>
    <w:basedOn w:val="Carpredefinitoparagrafo"/>
    <w:link w:val="Paragrafoelenco"/>
    <w:uiPriority w:val="34"/>
    <w:rsid w:val="00DA314A"/>
    <w:rPr>
      <w:rFonts w:ascii="Arial" w:hAnsi="Arial"/>
      <w:sz w:val="24"/>
      <w:szCs w:val="24"/>
      <w:lang w:eastAsia="en-GB"/>
    </w:rPr>
  </w:style>
  <w:style w:type="character" w:styleId="Rimandocommento">
    <w:name w:val="annotation reference"/>
    <w:basedOn w:val="Carpredefinitoparagrafo"/>
    <w:uiPriority w:val="99"/>
    <w:unhideWhenUsed/>
    <w:rsid w:val="00DA314A"/>
    <w:rPr>
      <w:sz w:val="16"/>
      <w:szCs w:val="16"/>
    </w:rPr>
  </w:style>
  <w:style w:type="paragraph" w:styleId="Testocommento">
    <w:name w:val="annotation text"/>
    <w:basedOn w:val="Normale"/>
    <w:link w:val="TestocommentoCarattere"/>
    <w:uiPriority w:val="99"/>
    <w:unhideWhenUsed/>
    <w:rsid w:val="00DA314A"/>
    <w:pPr>
      <w:suppressAutoHyphens/>
      <w:spacing w:after="200"/>
      <w:jc w:val="left"/>
    </w:pPr>
    <w:rPr>
      <w:rFonts w:ascii="Calibri" w:eastAsia="SimSun" w:hAnsi="Calibri"/>
      <w:sz w:val="20"/>
      <w:szCs w:val="20"/>
    </w:rPr>
  </w:style>
  <w:style w:type="character" w:customStyle="1" w:styleId="TestocommentoCarattere">
    <w:name w:val="Testo commento Carattere"/>
    <w:basedOn w:val="Carpredefinitoparagrafo"/>
    <w:link w:val="Testocommento"/>
    <w:uiPriority w:val="99"/>
    <w:rsid w:val="00DA314A"/>
    <w:rPr>
      <w:rFonts w:ascii="Calibri" w:eastAsia="SimSun" w:hAnsi="Calibri"/>
    </w:rPr>
  </w:style>
  <w:style w:type="paragraph" w:styleId="Soggettocommento">
    <w:name w:val="annotation subject"/>
    <w:basedOn w:val="Testocommento"/>
    <w:next w:val="Testocommento"/>
    <w:link w:val="SoggettocommentoCarattere"/>
    <w:semiHidden/>
    <w:unhideWhenUsed/>
    <w:rsid w:val="001F0CA4"/>
    <w:pPr>
      <w:suppressAutoHyphens w:val="0"/>
      <w:spacing w:after="0"/>
      <w:jc w:val="both"/>
    </w:pPr>
    <w:rPr>
      <w:rFonts w:asciiTheme="minorHAnsi" w:eastAsia="Times New Roman" w:hAnsiTheme="minorHAnsi"/>
      <w:b/>
      <w:bCs/>
    </w:rPr>
  </w:style>
  <w:style w:type="character" w:customStyle="1" w:styleId="SoggettocommentoCarattere">
    <w:name w:val="Soggetto commento Carattere"/>
    <w:basedOn w:val="TestocommentoCarattere"/>
    <w:link w:val="Soggettocommento"/>
    <w:semiHidden/>
    <w:rsid w:val="001F0CA4"/>
    <w:rPr>
      <w:rFonts w:asciiTheme="minorHAnsi" w:eastAsia="SimSun"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431633075">
      <w:bodyDiv w:val="1"/>
      <w:marLeft w:val="0"/>
      <w:marRight w:val="0"/>
      <w:marTop w:val="0"/>
      <w:marBottom w:val="0"/>
      <w:divBdr>
        <w:top w:val="none" w:sz="0" w:space="0" w:color="auto"/>
        <w:left w:val="none" w:sz="0" w:space="0" w:color="auto"/>
        <w:bottom w:val="none" w:sz="0" w:space="0" w:color="auto"/>
        <w:right w:val="none" w:sz="0" w:space="0" w:color="auto"/>
      </w:divBdr>
    </w:div>
    <w:div w:id="1012293500">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am.nonstrutturati@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971</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Mariacristina Guidetti</cp:lastModifiedBy>
  <cp:revision>5</cp:revision>
  <cp:lastPrinted>2025-07-09T14:59:00Z</cp:lastPrinted>
  <dcterms:created xsi:type="dcterms:W3CDTF">2025-07-09T07:51:00Z</dcterms:created>
  <dcterms:modified xsi:type="dcterms:W3CDTF">2025-07-10T13:13:00Z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